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F09A7E" w14:textId="636E4066" w:rsidR="00EA39DB" w:rsidRPr="00E57301" w:rsidRDefault="00E4519C" w:rsidP="00987C06">
      <w:pPr>
        <w:jc w:val="center"/>
        <w:outlineLvl w:val="0"/>
        <w:rPr>
          <w:rFonts w:ascii="Times New Roman" w:hAnsi="Times New Roman"/>
          <w:b/>
          <w:sz w:val="28"/>
          <w:szCs w:val="28"/>
        </w:rPr>
      </w:pPr>
      <w:r w:rsidRPr="00E57301">
        <w:rPr>
          <w:rFonts w:ascii="Times New Roman" w:hAnsi="Times New Roman"/>
          <w:b/>
          <w:sz w:val="28"/>
          <w:szCs w:val="28"/>
        </w:rPr>
        <w:t>EARLY NON-</w:t>
      </w:r>
      <w:r w:rsidR="003B619D" w:rsidRPr="00E57301">
        <w:rPr>
          <w:rFonts w:ascii="Times New Roman" w:hAnsi="Times New Roman"/>
          <w:b/>
          <w:sz w:val="28"/>
          <w:szCs w:val="28"/>
        </w:rPr>
        <w:t>MILITARY INTERVENTION TO PREVENT ATROCITY CRIMES</w:t>
      </w:r>
    </w:p>
    <w:p w14:paraId="6DA1BC56" w14:textId="77777777" w:rsidR="006009D2" w:rsidRPr="0069208C" w:rsidRDefault="006009D2" w:rsidP="00427E38">
      <w:pPr>
        <w:outlineLvl w:val="0"/>
        <w:rPr>
          <w:rFonts w:ascii="Times New Roman" w:hAnsi="Times New Roman"/>
          <w:b/>
        </w:rPr>
      </w:pPr>
    </w:p>
    <w:p w14:paraId="75F3AB74" w14:textId="39FF86CB" w:rsidR="00470D29" w:rsidRPr="00E57301" w:rsidRDefault="006009D2" w:rsidP="006009D2">
      <w:pPr>
        <w:jc w:val="center"/>
        <w:rPr>
          <w:rFonts w:ascii="Times New Roman" w:hAnsi="Times New Roman" w:cs="Times New Roman"/>
          <w:b/>
          <w:iCs/>
        </w:rPr>
      </w:pPr>
      <w:r w:rsidRPr="00E57301">
        <w:rPr>
          <w:rFonts w:ascii="Times New Roman" w:hAnsi="Times New Roman" w:cs="Times New Roman"/>
          <w:b/>
          <w:iCs/>
        </w:rPr>
        <w:t>Sarah Lesser</w:t>
      </w:r>
      <w:r w:rsidR="009E16DF" w:rsidRPr="00E57301">
        <w:rPr>
          <w:rFonts w:ascii="Times New Roman" w:hAnsi="Times New Roman" w:cs="Times New Roman"/>
          <w:b/>
          <w:iCs/>
        </w:rPr>
        <w:t>*</w:t>
      </w:r>
    </w:p>
    <w:p w14:paraId="23C8E90F" w14:textId="77777777" w:rsidR="006009D2" w:rsidRPr="00427E38" w:rsidRDefault="006009D2" w:rsidP="00427E38">
      <w:pPr>
        <w:rPr>
          <w:rFonts w:ascii="Times New Roman" w:hAnsi="Times New Roman" w:cs="Times New Roman"/>
          <w:iCs/>
        </w:rPr>
      </w:pPr>
    </w:p>
    <w:p w14:paraId="64173390" w14:textId="1AE2EA99" w:rsidR="000C5C09" w:rsidRPr="00987C06" w:rsidRDefault="002373AB" w:rsidP="00987C06">
      <w:pPr>
        <w:jc w:val="center"/>
        <w:rPr>
          <w:rFonts w:ascii="Times New Roman" w:hAnsi="Times New Roman" w:cs="Times New Roman"/>
          <w:smallCaps/>
        </w:rPr>
      </w:pPr>
      <w:r w:rsidRPr="00987C06">
        <w:rPr>
          <w:rFonts w:ascii="Times New Roman" w:hAnsi="Times New Roman" w:cs="Times New Roman"/>
          <w:smallCaps/>
        </w:rPr>
        <w:t xml:space="preserve">I.  </w:t>
      </w:r>
      <w:r w:rsidR="00983717" w:rsidRPr="00987C06">
        <w:rPr>
          <w:rFonts w:ascii="Times New Roman" w:hAnsi="Times New Roman" w:cs="Times New Roman"/>
          <w:smallCaps/>
        </w:rPr>
        <w:t>Introduction</w:t>
      </w:r>
    </w:p>
    <w:p w14:paraId="169D8F75" w14:textId="77777777" w:rsidR="00347FCC" w:rsidRPr="00427E38" w:rsidRDefault="00347FCC" w:rsidP="00427E38">
      <w:pPr>
        <w:rPr>
          <w:rFonts w:ascii="Times New Roman" w:hAnsi="Times New Roman" w:cs="Times New Roman"/>
          <w:smallCaps/>
        </w:rPr>
      </w:pPr>
    </w:p>
    <w:p w14:paraId="73A4C5FB" w14:textId="374FE529" w:rsidR="00124D37" w:rsidRDefault="00C64635" w:rsidP="006009D2">
      <w:pPr>
        <w:ind w:firstLine="720"/>
        <w:contextualSpacing/>
        <w:jc w:val="both"/>
        <w:rPr>
          <w:rFonts w:ascii="Times New Roman" w:hAnsi="Times New Roman" w:cs="Times New Roman"/>
        </w:rPr>
      </w:pPr>
      <w:r>
        <w:rPr>
          <w:rFonts w:ascii="Times New Roman" w:hAnsi="Times New Roman" w:cs="Times New Roman"/>
        </w:rPr>
        <w:t>The ter</w:t>
      </w:r>
      <w:bookmarkStart w:id="0" w:name="_GoBack"/>
      <w:bookmarkEnd w:id="0"/>
      <w:r>
        <w:rPr>
          <w:rFonts w:ascii="Times New Roman" w:hAnsi="Times New Roman" w:cs="Times New Roman"/>
        </w:rPr>
        <w:t>m “mass atrocities” does not have a technical legal definition.</w:t>
      </w:r>
      <w:r>
        <w:rPr>
          <w:rStyle w:val="FootnoteReference"/>
          <w:rFonts w:ascii="Times New Roman" w:hAnsi="Times New Roman" w:cs="Times New Roman"/>
        </w:rPr>
        <w:footnoteReference w:id="2"/>
      </w:r>
      <w:r w:rsidR="007E4D82">
        <w:rPr>
          <w:rFonts w:ascii="Times New Roman" w:hAnsi="Times New Roman" w:cs="Times New Roman"/>
        </w:rPr>
        <w:t xml:space="preserve">  </w:t>
      </w:r>
      <w:r>
        <w:rPr>
          <w:rFonts w:ascii="Times New Roman" w:hAnsi="Times New Roman" w:cs="Times New Roman"/>
        </w:rPr>
        <w:t xml:space="preserve">However, it is generally understood as </w:t>
      </w:r>
      <w:r w:rsidR="00CE22BF">
        <w:rPr>
          <w:rFonts w:ascii="Times New Roman" w:hAnsi="Times New Roman" w:cs="Times New Roman"/>
        </w:rPr>
        <w:t>the international crimes of</w:t>
      </w:r>
      <w:r>
        <w:rPr>
          <w:rFonts w:ascii="Times New Roman" w:hAnsi="Times New Roman" w:cs="Times New Roman"/>
        </w:rPr>
        <w:t xml:space="preserve"> genocide, war crimes, crimes against humanity, and ethnic cleansing.</w:t>
      </w:r>
      <w:r>
        <w:rPr>
          <w:rStyle w:val="FootnoteReference"/>
          <w:rFonts w:ascii="Times New Roman" w:hAnsi="Times New Roman" w:cs="Times New Roman"/>
        </w:rPr>
        <w:footnoteReference w:id="3"/>
      </w:r>
      <w:r w:rsidR="00412E04">
        <w:rPr>
          <w:rFonts w:ascii="Times New Roman" w:hAnsi="Times New Roman" w:cs="Times New Roman"/>
        </w:rPr>
        <w:t xml:space="preserve">  </w:t>
      </w:r>
      <w:r>
        <w:rPr>
          <w:rFonts w:ascii="Times New Roman" w:hAnsi="Times New Roman" w:cs="Times New Roman"/>
        </w:rPr>
        <w:t>In the Rome Statute of the International Criminal Court (</w:t>
      </w:r>
      <w:r w:rsidR="00D641C1">
        <w:rPr>
          <w:rFonts w:ascii="Times New Roman" w:hAnsi="Times New Roman" w:cs="Times New Roman"/>
        </w:rPr>
        <w:t>“</w:t>
      </w:r>
      <w:r>
        <w:rPr>
          <w:rFonts w:ascii="Times New Roman" w:hAnsi="Times New Roman" w:cs="Times New Roman"/>
        </w:rPr>
        <w:t>Rome Statute</w:t>
      </w:r>
      <w:r w:rsidR="00D641C1">
        <w:rPr>
          <w:rFonts w:ascii="Times New Roman" w:hAnsi="Times New Roman" w:cs="Times New Roman"/>
        </w:rPr>
        <w:t>”</w:t>
      </w:r>
      <w:r>
        <w:rPr>
          <w:rFonts w:ascii="Times New Roman" w:hAnsi="Times New Roman" w:cs="Times New Roman"/>
        </w:rPr>
        <w:t>), these crimes are described as the “most serious crimes of concern,”</w:t>
      </w:r>
      <w:r>
        <w:rPr>
          <w:rStyle w:val="FootnoteReference"/>
          <w:rFonts w:ascii="Times New Roman" w:hAnsi="Times New Roman" w:cs="Times New Roman"/>
        </w:rPr>
        <w:footnoteReference w:id="4"/>
      </w:r>
      <w:r>
        <w:rPr>
          <w:rFonts w:ascii="Times New Roman" w:hAnsi="Times New Roman" w:cs="Times New Roman"/>
        </w:rPr>
        <w:t xml:space="preserve"> and since the C</w:t>
      </w:r>
      <w:r w:rsidR="00B40826">
        <w:rPr>
          <w:rFonts w:ascii="Times New Roman" w:hAnsi="Times New Roman" w:cs="Times New Roman"/>
        </w:rPr>
        <w:t>onvention on the Prevention and Punishment of the Crime of Genocide (</w:t>
      </w:r>
      <w:r w:rsidR="00D641C1">
        <w:rPr>
          <w:rFonts w:ascii="Times New Roman" w:hAnsi="Times New Roman" w:cs="Times New Roman"/>
        </w:rPr>
        <w:t>“</w:t>
      </w:r>
      <w:r w:rsidR="00B40826">
        <w:rPr>
          <w:rFonts w:ascii="Times New Roman" w:hAnsi="Times New Roman" w:cs="Times New Roman"/>
        </w:rPr>
        <w:t>Genocide Convention</w:t>
      </w:r>
      <w:r w:rsidR="00D641C1">
        <w:rPr>
          <w:rFonts w:ascii="Times New Roman" w:hAnsi="Times New Roman" w:cs="Times New Roman"/>
        </w:rPr>
        <w:t>”</w:t>
      </w:r>
      <w:r w:rsidR="00B40826">
        <w:rPr>
          <w:rFonts w:ascii="Times New Roman" w:hAnsi="Times New Roman" w:cs="Times New Roman"/>
        </w:rPr>
        <w:t xml:space="preserve">) was signed in 1948, the international community has been working to </w:t>
      </w:r>
      <w:r w:rsidR="00CE22BF">
        <w:rPr>
          <w:rFonts w:ascii="Times New Roman" w:hAnsi="Times New Roman" w:cs="Times New Roman"/>
        </w:rPr>
        <w:t>prevent and punish the perpetration of such</w:t>
      </w:r>
      <w:r w:rsidR="00B40826">
        <w:rPr>
          <w:rFonts w:ascii="Times New Roman" w:hAnsi="Times New Roman" w:cs="Times New Roman"/>
        </w:rPr>
        <w:t xml:space="preserve"> crimes.</w:t>
      </w:r>
      <w:r w:rsidR="00B40826">
        <w:rPr>
          <w:rStyle w:val="FootnoteReference"/>
          <w:rFonts w:ascii="Times New Roman" w:hAnsi="Times New Roman" w:cs="Times New Roman"/>
        </w:rPr>
        <w:footnoteReference w:id="5"/>
      </w:r>
      <w:r w:rsidR="003B1B26">
        <w:rPr>
          <w:rFonts w:ascii="Times New Roman" w:hAnsi="Times New Roman" w:cs="Times New Roman"/>
        </w:rPr>
        <w:t xml:space="preserve">  </w:t>
      </w:r>
      <w:r w:rsidR="00B40826">
        <w:rPr>
          <w:rFonts w:ascii="Times New Roman" w:hAnsi="Times New Roman" w:cs="Times New Roman"/>
        </w:rPr>
        <w:t xml:space="preserve">The </w:t>
      </w:r>
      <w:r w:rsidR="00FA65E9" w:rsidRPr="00FA65E9">
        <w:rPr>
          <w:rFonts w:ascii="Times New Roman" w:hAnsi="Times New Roman" w:cs="Times New Roman"/>
          <w:color w:val="000000" w:themeColor="text1"/>
        </w:rPr>
        <w:t>field in which scholars</w:t>
      </w:r>
      <w:r w:rsidR="00FA65E9">
        <w:rPr>
          <w:rFonts w:ascii="Times New Roman" w:hAnsi="Times New Roman" w:cs="Times New Roman"/>
          <w:color w:val="000000" w:themeColor="text1"/>
        </w:rPr>
        <w:t xml:space="preserve">, </w:t>
      </w:r>
      <w:r w:rsidR="00FA65E9">
        <w:rPr>
          <w:rFonts w:ascii="Times New Roman" w:hAnsi="Times New Roman" w:cs="Times New Roman"/>
          <w:color w:val="000000" w:themeColor="text1"/>
        </w:rPr>
        <w:lastRenderedPageBreak/>
        <w:t>policymakers, and others</w:t>
      </w:r>
      <w:r w:rsidR="00FA65E9" w:rsidRPr="00FA65E9">
        <w:rPr>
          <w:rFonts w:ascii="Times New Roman" w:hAnsi="Times New Roman" w:cs="Times New Roman"/>
          <w:color w:val="000000" w:themeColor="text1"/>
        </w:rPr>
        <w:t xml:space="preserve"> work toward the </w:t>
      </w:r>
      <w:r w:rsidR="00FA65E9">
        <w:rPr>
          <w:rFonts w:ascii="Times New Roman" w:hAnsi="Times New Roman" w:cs="Times New Roman"/>
        </w:rPr>
        <w:t>elimination of</w:t>
      </w:r>
      <w:r w:rsidR="00B40826">
        <w:rPr>
          <w:rFonts w:ascii="Times New Roman" w:hAnsi="Times New Roman" w:cs="Times New Roman"/>
        </w:rPr>
        <w:t xml:space="preserve"> these crimes has become known as atrocity prevention.</w:t>
      </w:r>
    </w:p>
    <w:p w14:paraId="24226275" w14:textId="187A9884" w:rsidR="000C5C09" w:rsidRDefault="00E23E5F" w:rsidP="006009D2">
      <w:pPr>
        <w:ind w:firstLine="720"/>
        <w:contextualSpacing/>
        <w:jc w:val="both"/>
        <w:rPr>
          <w:rFonts w:ascii="Times New Roman" w:hAnsi="Times New Roman" w:cs="Times New Roman"/>
          <w:color w:val="000000" w:themeColor="text1"/>
        </w:rPr>
      </w:pPr>
      <w:r w:rsidRPr="00E23E5F">
        <w:rPr>
          <w:rFonts w:ascii="Times New Roman" w:hAnsi="Times New Roman" w:cs="Times New Roman"/>
          <w:color w:val="000000" w:themeColor="text1"/>
        </w:rPr>
        <w:t xml:space="preserve">One of the </w:t>
      </w:r>
      <w:r w:rsidR="0061799B">
        <w:rPr>
          <w:rFonts w:ascii="Times New Roman" w:hAnsi="Times New Roman" w:cs="Times New Roman"/>
          <w:color w:val="000000" w:themeColor="text1"/>
        </w:rPr>
        <w:t>preeminent</w:t>
      </w:r>
      <w:r w:rsidRPr="00E23E5F">
        <w:rPr>
          <w:rFonts w:ascii="Times New Roman" w:hAnsi="Times New Roman" w:cs="Times New Roman"/>
          <w:color w:val="000000" w:themeColor="text1"/>
        </w:rPr>
        <w:t xml:space="preserve"> </w:t>
      </w:r>
      <w:r w:rsidR="00910BD2">
        <w:rPr>
          <w:rFonts w:ascii="Times New Roman" w:hAnsi="Times New Roman" w:cs="Times New Roman"/>
          <w:color w:val="000000" w:themeColor="text1"/>
        </w:rPr>
        <w:t>issues in atrocity prevention</w:t>
      </w:r>
      <w:r w:rsidR="005B14A0">
        <w:rPr>
          <w:rFonts w:ascii="Times New Roman" w:hAnsi="Times New Roman" w:cs="Times New Roman"/>
          <w:color w:val="000000" w:themeColor="text1"/>
        </w:rPr>
        <w:t>,</w:t>
      </w:r>
      <w:r w:rsidRPr="00E23E5F">
        <w:rPr>
          <w:rFonts w:ascii="Times New Roman" w:hAnsi="Times New Roman" w:cs="Times New Roman"/>
          <w:color w:val="000000" w:themeColor="text1"/>
        </w:rPr>
        <w:t xml:space="preserve"> if it is working </w:t>
      </w:r>
      <w:r w:rsidR="0061799B">
        <w:rPr>
          <w:rFonts w:ascii="Times New Roman" w:hAnsi="Times New Roman" w:cs="Times New Roman"/>
          <w:color w:val="000000" w:themeColor="text1"/>
        </w:rPr>
        <w:t>one hundred percent</w:t>
      </w:r>
      <w:r w:rsidRPr="00E23E5F">
        <w:rPr>
          <w:rFonts w:ascii="Times New Roman" w:hAnsi="Times New Roman" w:cs="Times New Roman"/>
          <w:color w:val="000000" w:themeColor="text1"/>
        </w:rPr>
        <w:t xml:space="preserve"> effectively,</w:t>
      </w:r>
      <w:r w:rsidR="005B14A0">
        <w:rPr>
          <w:rFonts w:ascii="Times New Roman" w:hAnsi="Times New Roman" w:cs="Times New Roman"/>
          <w:color w:val="000000" w:themeColor="text1"/>
        </w:rPr>
        <w:t xml:space="preserve"> </w:t>
      </w:r>
      <w:r w:rsidR="00910BD2">
        <w:rPr>
          <w:rFonts w:ascii="Times New Roman" w:hAnsi="Times New Roman" w:cs="Times New Roman"/>
          <w:color w:val="000000" w:themeColor="text1"/>
        </w:rPr>
        <w:t xml:space="preserve">is </w:t>
      </w:r>
      <w:r w:rsidR="005B14A0">
        <w:rPr>
          <w:rFonts w:ascii="Times New Roman" w:hAnsi="Times New Roman" w:cs="Times New Roman"/>
          <w:color w:val="000000" w:themeColor="text1"/>
        </w:rPr>
        <w:t>that</w:t>
      </w:r>
      <w:r w:rsidRPr="00E23E5F">
        <w:rPr>
          <w:rFonts w:ascii="Times New Roman" w:hAnsi="Times New Roman" w:cs="Times New Roman"/>
          <w:color w:val="000000" w:themeColor="text1"/>
        </w:rPr>
        <w:t xml:space="preserve"> there will be no indication that </w:t>
      </w:r>
      <w:r w:rsidR="005B14A0">
        <w:rPr>
          <w:rFonts w:ascii="Times New Roman" w:hAnsi="Times New Roman" w:cs="Times New Roman"/>
          <w:color w:val="000000" w:themeColor="text1"/>
        </w:rPr>
        <w:t>the process</w:t>
      </w:r>
      <w:r w:rsidR="005B14A0" w:rsidRPr="00E23E5F">
        <w:rPr>
          <w:rFonts w:ascii="Times New Roman" w:hAnsi="Times New Roman" w:cs="Times New Roman"/>
          <w:color w:val="000000" w:themeColor="text1"/>
        </w:rPr>
        <w:t xml:space="preserve"> </w:t>
      </w:r>
      <w:r w:rsidRPr="00E23E5F">
        <w:rPr>
          <w:rFonts w:ascii="Times New Roman" w:hAnsi="Times New Roman" w:cs="Times New Roman"/>
          <w:color w:val="000000" w:themeColor="text1"/>
        </w:rPr>
        <w:t>is working at all, because there will be no more atrocities and thus no means of tracking whether said atrocities have been preven</w:t>
      </w:r>
      <w:r>
        <w:rPr>
          <w:rFonts w:ascii="Times New Roman" w:hAnsi="Times New Roman" w:cs="Times New Roman"/>
          <w:color w:val="000000" w:themeColor="text1"/>
        </w:rPr>
        <w:t>ted.</w:t>
      </w:r>
      <w:r w:rsidR="001544E5">
        <w:rPr>
          <w:rStyle w:val="FootnoteReference"/>
          <w:rFonts w:ascii="Times New Roman" w:hAnsi="Times New Roman" w:cs="Times New Roman"/>
          <w:color w:val="000000" w:themeColor="text1"/>
        </w:rPr>
        <w:footnoteReference w:id="6"/>
      </w:r>
      <w:r>
        <w:rPr>
          <w:rFonts w:ascii="Times New Roman" w:hAnsi="Times New Roman" w:cs="Times New Roman"/>
          <w:color w:val="000000" w:themeColor="text1"/>
        </w:rPr>
        <w:t xml:space="preserve"> </w:t>
      </w:r>
      <w:r w:rsidR="00124D37">
        <w:rPr>
          <w:rFonts w:ascii="Times New Roman" w:hAnsi="Times New Roman" w:cs="Times New Roman"/>
          <w:color w:val="000000" w:themeColor="text1"/>
        </w:rPr>
        <w:t xml:space="preserve"> This is called the “non-event problem.”</w:t>
      </w:r>
      <w:r w:rsidR="00124D37">
        <w:rPr>
          <w:rStyle w:val="FootnoteReference"/>
          <w:rFonts w:ascii="Times New Roman" w:hAnsi="Times New Roman" w:cs="Times New Roman"/>
          <w:color w:val="000000" w:themeColor="text1"/>
        </w:rPr>
        <w:footnoteReference w:id="7"/>
      </w:r>
      <w:r>
        <w:rPr>
          <w:rFonts w:ascii="Times New Roman" w:hAnsi="Times New Roman" w:cs="Times New Roman"/>
          <w:color w:val="000000" w:themeColor="text1"/>
        </w:rPr>
        <w:t xml:space="preserve"> </w:t>
      </w:r>
      <w:r w:rsidR="00532322">
        <w:rPr>
          <w:rFonts w:ascii="Times New Roman" w:hAnsi="Times New Roman" w:cs="Times New Roman"/>
          <w:color w:val="000000" w:themeColor="text1"/>
        </w:rPr>
        <w:t xml:space="preserve"> </w:t>
      </w:r>
      <w:r w:rsidRPr="00E23E5F">
        <w:rPr>
          <w:rFonts w:ascii="Times New Roman" w:hAnsi="Times New Roman" w:cs="Times New Roman"/>
          <w:color w:val="000000" w:themeColor="text1"/>
        </w:rPr>
        <w:t xml:space="preserve">Also, due to the fact that a lot of these mechanisms have developed so recently, they have not had time to take root </w:t>
      </w:r>
      <w:r>
        <w:rPr>
          <w:rFonts w:ascii="Times New Roman" w:hAnsi="Times New Roman" w:cs="Times New Roman"/>
          <w:color w:val="000000" w:themeColor="text1"/>
        </w:rPr>
        <w:t>on an institutional level, and</w:t>
      </w:r>
      <w:r w:rsidRPr="00E23E5F">
        <w:rPr>
          <w:rFonts w:ascii="Times New Roman" w:hAnsi="Times New Roman" w:cs="Times New Roman"/>
          <w:color w:val="000000" w:themeColor="text1"/>
        </w:rPr>
        <w:t xml:space="preserve"> their effectiveness</w:t>
      </w:r>
      <w:r>
        <w:rPr>
          <w:rFonts w:ascii="Times New Roman" w:hAnsi="Times New Roman" w:cs="Times New Roman"/>
          <w:color w:val="000000" w:themeColor="text1"/>
        </w:rPr>
        <w:t xml:space="preserve"> cannot be </w:t>
      </w:r>
      <w:r w:rsidR="00FD675B">
        <w:rPr>
          <w:rFonts w:ascii="Times New Roman" w:hAnsi="Times New Roman" w:cs="Times New Roman"/>
          <w:color w:val="000000" w:themeColor="text1"/>
        </w:rPr>
        <w:t xml:space="preserve">easily </w:t>
      </w:r>
      <w:r>
        <w:rPr>
          <w:rFonts w:ascii="Times New Roman" w:hAnsi="Times New Roman" w:cs="Times New Roman"/>
          <w:color w:val="000000" w:themeColor="text1"/>
        </w:rPr>
        <w:t>assessed</w:t>
      </w:r>
      <w:r w:rsidRPr="00E23E5F">
        <w:rPr>
          <w:rFonts w:ascii="Times New Roman" w:hAnsi="Times New Roman" w:cs="Times New Roman"/>
          <w:color w:val="000000" w:themeColor="text1"/>
        </w:rPr>
        <w:t xml:space="preserve"> as such.</w:t>
      </w:r>
      <w:r w:rsidR="001544E5">
        <w:rPr>
          <w:rStyle w:val="FootnoteReference"/>
          <w:rFonts w:ascii="Times New Roman" w:hAnsi="Times New Roman" w:cs="Times New Roman"/>
          <w:color w:val="000000" w:themeColor="text1"/>
        </w:rPr>
        <w:footnoteReference w:id="8"/>
      </w:r>
      <w:r w:rsidRPr="00E23E5F">
        <w:rPr>
          <w:rFonts w:ascii="Times New Roman" w:hAnsi="Times New Roman" w:cs="Times New Roman"/>
          <w:color w:val="000000" w:themeColor="text1"/>
        </w:rPr>
        <w:t> </w:t>
      </w:r>
    </w:p>
    <w:p w14:paraId="73223953" w14:textId="0F171EA7" w:rsidR="007B4357" w:rsidRPr="007B4357" w:rsidRDefault="007B4357" w:rsidP="000E18BE">
      <w:pPr>
        <w:ind w:firstLine="720"/>
        <w:contextualSpacing/>
        <w:jc w:val="both"/>
        <w:rPr>
          <w:rFonts w:ascii="Times New Roman" w:hAnsi="Times New Roman" w:cs="Times New Roman"/>
          <w:color w:val="000000" w:themeColor="text1"/>
        </w:rPr>
      </w:pPr>
      <w:r>
        <w:rPr>
          <w:rFonts w:ascii="Times New Roman" w:hAnsi="Times New Roman" w:cs="Times New Roman"/>
          <w:color w:val="000000" w:themeColor="text1"/>
        </w:rPr>
        <w:t xml:space="preserve">Many of the existing atrocity prevention mechanisms are designed to have a deterrent effect, and provide an </w:t>
      </w:r>
      <w:r>
        <w:rPr>
          <w:rFonts w:ascii="Times New Roman" w:hAnsi="Times New Roman" w:cs="Times New Roman"/>
          <w:i/>
          <w:iCs/>
          <w:color w:val="000000" w:themeColor="text1"/>
        </w:rPr>
        <w:t>ex post facto</w:t>
      </w:r>
      <w:r>
        <w:rPr>
          <w:rFonts w:ascii="Times New Roman" w:hAnsi="Times New Roman" w:cs="Times New Roman"/>
          <w:color w:val="000000" w:themeColor="text1"/>
        </w:rPr>
        <w:t xml:space="preserve"> </w:t>
      </w:r>
      <w:r w:rsidR="004205B4">
        <w:rPr>
          <w:rFonts w:ascii="Times New Roman" w:hAnsi="Times New Roman" w:cs="Times New Roman"/>
          <w:color w:val="000000" w:themeColor="text1"/>
        </w:rPr>
        <w:t>condemnation of the atrocities and their perpetrators.</w:t>
      </w:r>
      <w:r w:rsidR="003B1B26">
        <w:rPr>
          <w:rFonts w:ascii="Times New Roman" w:hAnsi="Times New Roman" w:cs="Times New Roman"/>
          <w:color w:val="000000" w:themeColor="text1"/>
        </w:rPr>
        <w:t xml:space="preserve">  </w:t>
      </w:r>
      <w:r w:rsidR="004205B4">
        <w:rPr>
          <w:rFonts w:ascii="Times New Roman" w:hAnsi="Times New Roman" w:cs="Times New Roman"/>
        </w:rPr>
        <w:t>These tools include a variety of treaties and tribunals, such as the Geneva Conventions</w:t>
      </w:r>
      <w:r w:rsidR="004205B4">
        <w:rPr>
          <w:rStyle w:val="FootnoteReference"/>
          <w:rFonts w:ascii="Times New Roman" w:hAnsi="Times New Roman" w:cs="Times New Roman"/>
        </w:rPr>
        <w:footnoteReference w:id="9"/>
      </w:r>
      <w:r w:rsidR="004205B4">
        <w:rPr>
          <w:rFonts w:ascii="Times New Roman" w:hAnsi="Times New Roman" w:cs="Times New Roman"/>
        </w:rPr>
        <w:t xml:space="preserve"> and the International Criminal Court</w:t>
      </w:r>
      <w:r w:rsidR="00FD675B">
        <w:rPr>
          <w:rFonts w:ascii="Times New Roman" w:hAnsi="Times New Roman" w:cs="Times New Roman"/>
        </w:rPr>
        <w:t xml:space="preserve"> (“ICC”)</w:t>
      </w:r>
      <w:r w:rsidR="004205B4">
        <w:rPr>
          <w:rFonts w:ascii="Times New Roman" w:hAnsi="Times New Roman" w:cs="Times New Roman"/>
        </w:rPr>
        <w:t>.</w:t>
      </w:r>
      <w:r w:rsidR="004205B4">
        <w:rPr>
          <w:rStyle w:val="FootnoteReference"/>
          <w:rFonts w:ascii="Times New Roman" w:hAnsi="Times New Roman" w:cs="Times New Roman"/>
        </w:rPr>
        <w:footnoteReference w:id="10"/>
      </w:r>
      <w:r w:rsidR="003B1B26">
        <w:rPr>
          <w:rFonts w:ascii="Times New Roman" w:hAnsi="Times New Roman" w:cs="Times New Roman"/>
        </w:rPr>
        <w:t xml:space="preserve">  </w:t>
      </w:r>
      <w:r w:rsidR="00B01946">
        <w:rPr>
          <w:rFonts w:ascii="Times New Roman" w:hAnsi="Times New Roman" w:cs="Times New Roman"/>
        </w:rPr>
        <w:t>Proponents</w:t>
      </w:r>
      <w:r w:rsidR="004205B4">
        <w:rPr>
          <w:rFonts w:ascii="Times New Roman" w:hAnsi="Times New Roman" w:cs="Times New Roman"/>
        </w:rPr>
        <w:t xml:space="preserve"> of these mechanisms argue that </w:t>
      </w:r>
      <w:r w:rsidR="003B1B26">
        <w:rPr>
          <w:rFonts w:ascii="Times New Roman" w:hAnsi="Times New Roman" w:cs="Times New Roman"/>
        </w:rPr>
        <w:t xml:space="preserve">threat of punishment is a significant deterrent, </w:t>
      </w:r>
      <w:r w:rsidR="00B01946">
        <w:rPr>
          <w:rFonts w:ascii="Times New Roman" w:hAnsi="Times New Roman" w:cs="Times New Roman"/>
        </w:rPr>
        <w:t xml:space="preserve">but </w:t>
      </w:r>
      <w:r w:rsidR="003B1B26">
        <w:rPr>
          <w:rFonts w:ascii="Times New Roman" w:hAnsi="Times New Roman" w:cs="Times New Roman"/>
        </w:rPr>
        <w:t xml:space="preserve">it should be noted that </w:t>
      </w:r>
      <w:r w:rsidR="00B01946">
        <w:rPr>
          <w:rFonts w:ascii="Times New Roman" w:hAnsi="Times New Roman" w:cs="Times New Roman"/>
        </w:rPr>
        <w:t>although some of these mechanisms have existed for decades, atrocity crimes continue to be perpetrated around the world.</w:t>
      </w:r>
      <w:r w:rsidR="00B01946">
        <w:rPr>
          <w:rStyle w:val="FootnoteReference"/>
          <w:rFonts w:ascii="Times New Roman" w:hAnsi="Times New Roman" w:cs="Times New Roman"/>
        </w:rPr>
        <w:footnoteReference w:id="11"/>
      </w:r>
      <w:r w:rsidR="00B01946">
        <w:rPr>
          <w:rFonts w:ascii="Times New Roman" w:hAnsi="Times New Roman" w:cs="Times New Roman"/>
        </w:rPr>
        <w:t xml:space="preserve">  </w:t>
      </w:r>
      <w:r w:rsidR="003A5BA1">
        <w:rPr>
          <w:rFonts w:ascii="Times New Roman" w:hAnsi="Times New Roman" w:cs="Times New Roman"/>
        </w:rPr>
        <w:t xml:space="preserve">It is necessary to </w:t>
      </w:r>
      <w:r w:rsidR="003A5BA1">
        <w:rPr>
          <w:rFonts w:ascii="Times New Roman" w:hAnsi="Times New Roman" w:cs="Times New Roman"/>
        </w:rPr>
        <w:lastRenderedPageBreak/>
        <w:t>develop new mechanisms in order to move closer towards the complete elimination of atrocities.</w:t>
      </w:r>
      <w:r w:rsidR="00C33FF1">
        <w:rPr>
          <w:rStyle w:val="FootnoteReference"/>
          <w:rFonts w:ascii="Times New Roman" w:hAnsi="Times New Roman" w:cs="Times New Roman"/>
        </w:rPr>
        <w:footnoteReference w:id="12"/>
      </w:r>
      <w:r w:rsidR="003A5BA1">
        <w:rPr>
          <w:rFonts w:ascii="Times New Roman" w:hAnsi="Times New Roman" w:cs="Times New Roman"/>
        </w:rPr>
        <w:t xml:space="preserve"> </w:t>
      </w:r>
    </w:p>
    <w:p w14:paraId="1F403BA2" w14:textId="37D29918" w:rsidR="007B4357" w:rsidRPr="001D1419" w:rsidRDefault="00B40826" w:rsidP="006009D2">
      <w:pPr>
        <w:ind w:firstLine="720"/>
        <w:contextualSpacing/>
        <w:jc w:val="both"/>
        <w:rPr>
          <w:rFonts w:ascii="Times New Roman" w:hAnsi="Times New Roman" w:cs="Times New Roman"/>
        </w:rPr>
      </w:pPr>
      <w:r>
        <w:rPr>
          <w:rFonts w:ascii="Times New Roman" w:hAnsi="Times New Roman" w:cs="Times New Roman"/>
        </w:rPr>
        <w:t>A developing and critical aspect of atrocity pre</w:t>
      </w:r>
      <w:r w:rsidR="00FD675B">
        <w:rPr>
          <w:rFonts w:ascii="Times New Roman" w:hAnsi="Times New Roman" w:cs="Times New Roman"/>
        </w:rPr>
        <w:t>vention is the doctrine of the R</w:t>
      </w:r>
      <w:r>
        <w:rPr>
          <w:rFonts w:ascii="Times New Roman" w:hAnsi="Times New Roman" w:cs="Times New Roman"/>
        </w:rPr>
        <w:t>es</w:t>
      </w:r>
      <w:r w:rsidR="00F66FFE">
        <w:rPr>
          <w:rFonts w:ascii="Times New Roman" w:hAnsi="Times New Roman" w:cs="Times New Roman"/>
        </w:rPr>
        <w:t xml:space="preserve">ponsibility to </w:t>
      </w:r>
      <w:r w:rsidR="00FD675B">
        <w:rPr>
          <w:rFonts w:ascii="Times New Roman" w:hAnsi="Times New Roman" w:cs="Times New Roman"/>
        </w:rPr>
        <w:t>P</w:t>
      </w:r>
      <w:r w:rsidR="000F1860">
        <w:rPr>
          <w:rFonts w:ascii="Times New Roman" w:hAnsi="Times New Roman" w:cs="Times New Roman"/>
        </w:rPr>
        <w:t>rotect (“</w:t>
      </w:r>
      <w:r w:rsidR="00F66FFE">
        <w:rPr>
          <w:rFonts w:ascii="Times New Roman" w:hAnsi="Times New Roman" w:cs="Times New Roman"/>
        </w:rPr>
        <w:t>R2P</w:t>
      </w:r>
      <w:r w:rsidR="000F1860">
        <w:rPr>
          <w:rFonts w:ascii="Times New Roman" w:hAnsi="Times New Roman" w:cs="Times New Roman"/>
        </w:rPr>
        <w:t>”)</w:t>
      </w:r>
      <w:r w:rsidR="00F66FFE">
        <w:rPr>
          <w:rFonts w:ascii="Times New Roman" w:hAnsi="Times New Roman" w:cs="Times New Roman"/>
        </w:rPr>
        <w:t>.</w:t>
      </w:r>
      <w:r w:rsidR="00F66FFE">
        <w:rPr>
          <w:rStyle w:val="FootnoteReference"/>
          <w:rFonts w:ascii="Times New Roman" w:hAnsi="Times New Roman" w:cs="Times New Roman"/>
        </w:rPr>
        <w:footnoteReference w:id="13"/>
      </w:r>
      <w:r w:rsidR="00412E04">
        <w:rPr>
          <w:rFonts w:ascii="Times New Roman" w:hAnsi="Times New Roman" w:cs="Times New Roman"/>
        </w:rPr>
        <w:t xml:space="preserve">  </w:t>
      </w:r>
      <w:r>
        <w:rPr>
          <w:rFonts w:ascii="Times New Roman" w:hAnsi="Times New Roman" w:cs="Times New Roman"/>
        </w:rPr>
        <w:t>R2P centers around the belief that sovereign states have a fundamental responsibility to protect their own citizens from atrocities such as those described above.</w:t>
      </w:r>
      <w:r>
        <w:rPr>
          <w:rStyle w:val="FootnoteReference"/>
          <w:rFonts w:ascii="Times New Roman" w:hAnsi="Times New Roman" w:cs="Times New Roman"/>
        </w:rPr>
        <w:footnoteReference w:id="14"/>
      </w:r>
      <w:r w:rsidR="00647004">
        <w:rPr>
          <w:rFonts w:ascii="Times New Roman" w:hAnsi="Times New Roman" w:cs="Times New Roman"/>
        </w:rPr>
        <w:t xml:space="preserve">  </w:t>
      </w:r>
      <w:r>
        <w:rPr>
          <w:rFonts w:ascii="Times New Roman" w:hAnsi="Times New Roman" w:cs="Times New Roman"/>
        </w:rPr>
        <w:t>States can request assistance from the internati</w:t>
      </w:r>
      <w:r w:rsidR="00D76EF5">
        <w:rPr>
          <w:rFonts w:ascii="Times New Roman" w:hAnsi="Times New Roman" w:cs="Times New Roman"/>
        </w:rPr>
        <w:t>onal community in this endeavor</w:t>
      </w:r>
      <w:r w:rsidR="00062BF1">
        <w:rPr>
          <w:rFonts w:ascii="Times New Roman" w:hAnsi="Times New Roman" w:cs="Times New Roman"/>
        </w:rPr>
        <w:t>.  A</w:t>
      </w:r>
      <w:r>
        <w:rPr>
          <w:rFonts w:ascii="Times New Roman" w:hAnsi="Times New Roman" w:cs="Times New Roman"/>
        </w:rPr>
        <w:t>nd</w:t>
      </w:r>
      <w:r w:rsidR="00062BF1">
        <w:rPr>
          <w:rFonts w:ascii="Times New Roman" w:hAnsi="Times New Roman" w:cs="Times New Roman"/>
        </w:rPr>
        <w:t>,</w:t>
      </w:r>
      <w:r>
        <w:rPr>
          <w:rFonts w:ascii="Times New Roman" w:hAnsi="Times New Roman" w:cs="Times New Roman"/>
        </w:rPr>
        <w:t xml:space="preserve"> should a state fail to protect its own citizens, the international community is obligated to intervene.</w:t>
      </w:r>
      <w:r>
        <w:rPr>
          <w:rStyle w:val="FootnoteReference"/>
          <w:rFonts w:ascii="Times New Roman" w:hAnsi="Times New Roman" w:cs="Times New Roman"/>
        </w:rPr>
        <w:footnoteReference w:id="15"/>
      </w:r>
      <w:r w:rsidR="00412E04">
        <w:rPr>
          <w:rFonts w:ascii="Times New Roman" w:hAnsi="Times New Roman" w:cs="Times New Roman"/>
        </w:rPr>
        <w:t xml:space="preserve">  </w:t>
      </w:r>
      <w:r w:rsidR="00280D23">
        <w:rPr>
          <w:rFonts w:ascii="Times New Roman" w:hAnsi="Times New Roman" w:cs="Times New Roman"/>
        </w:rPr>
        <w:t>More often than not, the assistance provided by the international community takes the form of late</w:t>
      </w:r>
      <w:r w:rsidR="00412E04">
        <w:rPr>
          <w:rFonts w:ascii="Times New Roman" w:hAnsi="Times New Roman" w:cs="Times New Roman"/>
        </w:rPr>
        <w:t>-</w:t>
      </w:r>
      <w:r w:rsidR="00280D23">
        <w:rPr>
          <w:rFonts w:ascii="Times New Roman" w:hAnsi="Times New Roman" w:cs="Times New Roman"/>
        </w:rPr>
        <w:t>stage military intervention.</w:t>
      </w:r>
      <w:r w:rsidR="00280D23">
        <w:rPr>
          <w:rStyle w:val="FootnoteReference"/>
          <w:rFonts w:ascii="Times New Roman" w:hAnsi="Times New Roman" w:cs="Times New Roman"/>
        </w:rPr>
        <w:footnoteReference w:id="16"/>
      </w:r>
      <w:r w:rsidR="00412E04">
        <w:rPr>
          <w:rFonts w:ascii="Times New Roman" w:hAnsi="Times New Roman" w:cs="Times New Roman"/>
        </w:rPr>
        <w:t xml:space="preserve">  </w:t>
      </w:r>
      <w:r w:rsidR="00280D23">
        <w:rPr>
          <w:rFonts w:ascii="Times New Roman" w:hAnsi="Times New Roman" w:cs="Times New Roman"/>
        </w:rPr>
        <w:t>However, this form of intervention is problematic for several reasons</w:t>
      </w:r>
      <w:r w:rsidR="00FD738B">
        <w:rPr>
          <w:rFonts w:ascii="Times New Roman" w:hAnsi="Times New Roman" w:cs="Times New Roman"/>
        </w:rPr>
        <w:t xml:space="preserve">: </w:t>
      </w:r>
      <w:r w:rsidR="009721B5">
        <w:rPr>
          <w:rFonts w:ascii="Times New Roman" w:hAnsi="Times New Roman" w:cs="Times New Roman"/>
        </w:rPr>
        <w:t xml:space="preserve">military intervention has high costs, </w:t>
      </w:r>
      <w:r w:rsidR="00062BF1">
        <w:rPr>
          <w:rFonts w:ascii="Times New Roman" w:hAnsi="Times New Roman" w:cs="Times New Roman"/>
        </w:rPr>
        <w:t xml:space="preserve">both </w:t>
      </w:r>
      <w:r w:rsidR="009721B5">
        <w:rPr>
          <w:rFonts w:ascii="Times New Roman" w:hAnsi="Times New Roman" w:cs="Times New Roman"/>
        </w:rPr>
        <w:t>with regards to</w:t>
      </w:r>
      <w:r w:rsidR="00062BF1">
        <w:rPr>
          <w:rFonts w:ascii="Times New Roman" w:hAnsi="Times New Roman" w:cs="Times New Roman"/>
        </w:rPr>
        <w:t xml:space="preserve"> </w:t>
      </w:r>
      <w:r w:rsidR="009721B5">
        <w:rPr>
          <w:rFonts w:ascii="Times New Roman" w:hAnsi="Times New Roman" w:cs="Times New Roman"/>
        </w:rPr>
        <w:t xml:space="preserve"> finances and human life; this type of intervention is frequently interpreted as a </w:t>
      </w:r>
      <w:r w:rsidR="009B232C">
        <w:rPr>
          <w:rFonts w:ascii="Times New Roman" w:hAnsi="Times New Roman" w:cs="Times New Roman"/>
        </w:rPr>
        <w:t xml:space="preserve">violation of state sovereignty, and cast as a </w:t>
      </w:r>
      <w:r w:rsidR="009721B5">
        <w:rPr>
          <w:rFonts w:ascii="Times New Roman" w:hAnsi="Times New Roman" w:cs="Times New Roman"/>
        </w:rPr>
        <w:t>form of neo</w:t>
      </w:r>
      <w:r w:rsidR="00CA2399">
        <w:rPr>
          <w:rFonts w:ascii="Times New Roman" w:hAnsi="Times New Roman" w:cs="Times New Roman"/>
        </w:rPr>
        <w:t>-</w:t>
      </w:r>
      <w:r w:rsidR="009721B5">
        <w:rPr>
          <w:rFonts w:ascii="Times New Roman" w:hAnsi="Times New Roman" w:cs="Times New Roman"/>
        </w:rPr>
        <w:t>imperialism;</w:t>
      </w:r>
      <w:r w:rsidR="00FD675B">
        <w:rPr>
          <w:rStyle w:val="FootnoteReference"/>
          <w:rFonts w:ascii="Times New Roman" w:hAnsi="Times New Roman" w:cs="Times New Roman"/>
        </w:rPr>
        <w:footnoteReference w:id="17"/>
      </w:r>
      <w:r w:rsidR="009721B5">
        <w:rPr>
          <w:rFonts w:ascii="Times New Roman" w:hAnsi="Times New Roman" w:cs="Times New Roman"/>
        </w:rPr>
        <w:t xml:space="preserve"> and, due to the consensus required, it often takes a long time to initiate.</w:t>
      </w:r>
      <w:r w:rsidR="009721B5">
        <w:rPr>
          <w:rStyle w:val="FootnoteReference"/>
          <w:rFonts w:ascii="Times New Roman" w:hAnsi="Times New Roman" w:cs="Times New Roman"/>
        </w:rPr>
        <w:footnoteReference w:id="18"/>
      </w:r>
      <w:r w:rsidR="009721B5">
        <w:rPr>
          <w:rFonts w:ascii="Times New Roman" w:hAnsi="Times New Roman" w:cs="Times New Roman"/>
        </w:rPr>
        <w:t xml:space="preserve"> </w:t>
      </w:r>
    </w:p>
    <w:p w14:paraId="32D7F62E" w14:textId="23D1A50C" w:rsidR="00AD5AE8" w:rsidRDefault="002F0890" w:rsidP="006009D2">
      <w:pPr>
        <w:widowControl w:val="0"/>
        <w:autoSpaceDE w:val="0"/>
        <w:autoSpaceDN w:val="0"/>
        <w:adjustRightInd w:val="0"/>
        <w:spacing w:after="240"/>
        <w:ind w:firstLine="720"/>
        <w:contextualSpacing/>
        <w:jc w:val="both"/>
        <w:rPr>
          <w:rFonts w:ascii="Times New Roman" w:hAnsi="Times New Roman" w:cs="Times New Roman"/>
          <w:color w:val="000000" w:themeColor="text1"/>
        </w:rPr>
      </w:pPr>
      <w:r>
        <w:rPr>
          <w:rFonts w:ascii="Times New Roman" w:hAnsi="Times New Roman" w:cs="Times New Roman"/>
          <w:color w:val="000000" w:themeColor="text1"/>
        </w:rPr>
        <w:t>Since the pub</w:t>
      </w:r>
      <w:r w:rsidR="007457DD">
        <w:rPr>
          <w:rFonts w:ascii="Times New Roman" w:hAnsi="Times New Roman" w:cs="Times New Roman"/>
          <w:color w:val="000000" w:themeColor="text1"/>
        </w:rPr>
        <w:t>lication of Gregory Stanton’s “Eight</w:t>
      </w:r>
      <w:r>
        <w:rPr>
          <w:rFonts w:ascii="Times New Roman" w:hAnsi="Times New Roman" w:cs="Times New Roman"/>
          <w:color w:val="000000" w:themeColor="text1"/>
        </w:rPr>
        <w:t xml:space="preserve"> Stages of </w:t>
      </w:r>
      <w:r>
        <w:rPr>
          <w:rFonts w:ascii="Times New Roman" w:hAnsi="Times New Roman" w:cs="Times New Roman"/>
          <w:color w:val="000000" w:themeColor="text1"/>
        </w:rPr>
        <w:lastRenderedPageBreak/>
        <w:t>Genocide,”</w:t>
      </w:r>
      <w:r w:rsidR="002D2291">
        <w:rPr>
          <w:rStyle w:val="FootnoteReference"/>
          <w:rFonts w:ascii="Times New Roman" w:hAnsi="Times New Roman" w:cs="Times New Roman"/>
          <w:color w:val="000000" w:themeColor="text1"/>
        </w:rPr>
        <w:footnoteReference w:id="19"/>
      </w:r>
      <w:r>
        <w:rPr>
          <w:rFonts w:ascii="Times New Roman" w:hAnsi="Times New Roman" w:cs="Times New Roman"/>
          <w:color w:val="000000" w:themeColor="text1"/>
        </w:rPr>
        <w:t xml:space="preserve"> atrocity prevention scholars </w:t>
      </w:r>
      <w:r w:rsidR="004B49F4">
        <w:rPr>
          <w:rFonts w:ascii="Times New Roman" w:hAnsi="Times New Roman" w:cs="Times New Roman"/>
          <w:color w:val="000000" w:themeColor="text1"/>
        </w:rPr>
        <w:t xml:space="preserve">have generally accepted </w:t>
      </w:r>
      <w:r>
        <w:rPr>
          <w:rFonts w:ascii="Times New Roman" w:hAnsi="Times New Roman" w:cs="Times New Roman"/>
          <w:color w:val="000000" w:themeColor="text1"/>
        </w:rPr>
        <w:t>that atrocities are a process rather than an event.</w:t>
      </w:r>
      <w:r w:rsidR="00FD251B">
        <w:rPr>
          <w:rStyle w:val="FootnoteReference"/>
          <w:rFonts w:ascii="Times New Roman" w:hAnsi="Times New Roman" w:cs="Times New Roman"/>
          <w:color w:val="000000" w:themeColor="text1"/>
        </w:rPr>
        <w:footnoteReference w:id="20"/>
      </w:r>
      <w:r w:rsidR="00F66FFE">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It would therefore be prudent to intervene at a point in the process prior to the </w:t>
      </w:r>
      <w:r w:rsidR="00412E04">
        <w:rPr>
          <w:rFonts w:ascii="Times New Roman" w:hAnsi="Times New Roman" w:cs="Times New Roman"/>
          <w:color w:val="000000" w:themeColor="text1"/>
        </w:rPr>
        <w:t xml:space="preserve">occurrence of mass killings.  </w:t>
      </w:r>
      <w:r w:rsidR="004B49F4">
        <w:rPr>
          <w:rFonts w:ascii="Times New Roman" w:hAnsi="Times New Roman" w:cs="Times New Roman"/>
          <w:color w:val="000000" w:themeColor="text1"/>
        </w:rPr>
        <w:t>As</w:t>
      </w:r>
      <w:r w:rsidR="00762B3C">
        <w:rPr>
          <w:rFonts w:ascii="Times New Roman" w:hAnsi="Times New Roman" w:cs="Times New Roman"/>
          <w:color w:val="000000" w:themeColor="text1"/>
        </w:rPr>
        <w:t xml:space="preserve"> noted atrocity prevention scholars </w:t>
      </w:r>
      <w:proofErr w:type="spellStart"/>
      <w:r w:rsidR="00762B3C">
        <w:rPr>
          <w:rFonts w:ascii="Times New Roman" w:hAnsi="Times New Roman" w:cs="Times New Roman"/>
          <w:color w:val="000000" w:themeColor="text1"/>
        </w:rPr>
        <w:t>Tibi</w:t>
      </w:r>
      <w:proofErr w:type="spellEnd"/>
      <w:r w:rsidR="004B49F4">
        <w:rPr>
          <w:rFonts w:ascii="Times New Roman" w:hAnsi="Times New Roman" w:cs="Times New Roman"/>
          <w:color w:val="000000" w:themeColor="text1"/>
        </w:rPr>
        <w:t xml:space="preserve"> Galis</w:t>
      </w:r>
      <w:r w:rsidR="00136D2B">
        <w:rPr>
          <w:rFonts w:ascii="Times New Roman" w:hAnsi="Times New Roman" w:cs="Times New Roman"/>
          <w:color w:val="000000" w:themeColor="text1"/>
        </w:rPr>
        <w:t xml:space="preserve">, Sheri Rosenberg, and Alex </w:t>
      </w:r>
      <w:proofErr w:type="spellStart"/>
      <w:r w:rsidR="00136D2B">
        <w:rPr>
          <w:rFonts w:ascii="Times New Roman" w:hAnsi="Times New Roman" w:cs="Times New Roman"/>
          <w:color w:val="000000" w:themeColor="text1"/>
        </w:rPr>
        <w:t>Zucker</w:t>
      </w:r>
      <w:proofErr w:type="spellEnd"/>
      <w:r w:rsidR="00136D2B">
        <w:rPr>
          <w:rFonts w:ascii="Times New Roman" w:hAnsi="Times New Roman" w:cs="Times New Roman"/>
          <w:color w:val="000000" w:themeColor="text1"/>
        </w:rPr>
        <w:t xml:space="preserve"> </w:t>
      </w:r>
      <w:r w:rsidR="004B49F4">
        <w:rPr>
          <w:rFonts w:ascii="Times New Roman" w:hAnsi="Times New Roman" w:cs="Times New Roman"/>
          <w:color w:val="000000" w:themeColor="text1"/>
        </w:rPr>
        <w:t xml:space="preserve">observe, </w:t>
      </w:r>
      <w:r w:rsidR="006606AD">
        <w:rPr>
          <w:rFonts w:ascii="Times New Roman" w:hAnsi="Times New Roman" w:cs="Times New Roman"/>
          <w:color w:val="000000" w:themeColor="text1"/>
        </w:rPr>
        <w:t>“</w:t>
      </w:r>
      <w:r w:rsidR="004B49F4">
        <w:rPr>
          <w:rFonts w:ascii="Times New Roman" w:hAnsi="Times New Roman" w:cs="Times New Roman"/>
          <w:color w:val="000000" w:themeColor="text1"/>
        </w:rPr>
        <w:t>[w]</w:t>
      </w:r>
      <w:r w:rsidR="0076275E">
        <w:rPr>
          <w:rFonts w:ascii="Times New Roman" w:hAnsi="Times New Roman" w:cs="Times New Roman"/>
          <w:color w:val="000000" w:themeColor="text1"/>
        </w:rPr>
        <w:t>e need to know what engagement points are available beyond structural assistance, but before the tipping point of direct killings has been reached.”</w:t>
      </w:r>
      <w:r w:rsidR="0076275E">
        <w:rPr>
          <w:rStyle w:val="FootnoteReference"/>
          <w:rFonts w:ascii="Times New Roman" w:hAnsi="Times New Roman" w:cs="Times New Roman"/>
          <w:color w:val="000000" w:themeColor="text1"/>
        </w:rPr>
        <w:footnoteReference w:id="21"/>
      </w:r>
      <w:r w:rsidR="00412E04">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With </w:t>
      </w:r>
      <w:r w:rsidR="00062BF1">
        <w:rPr>
          <w:rFonts w:ascii="Times New Roman" w:hAnsi="Times New Roman" w:cs="Times New Roman"/>
          <w:color w:val="000000" w:themeColor="text1"/>
        </w:rPr>
        <w:t>this in mind, in 2014</w:t>
      </w:r>
      <w:r>
        <w:rPr>
          <w:rFonts w:ascii="Times New Roman" w:hAnsi="Times New Roman" w:cs="Times New Roman"/>
          <w:color w:val="000000" w:themeColor="text1"/>
        </w:rPr>
        <w:t xml:space="preserve"> the United Nations</w:t>
      </w:r>
      <w:r w:rsidR="000F1860">
        <w:rPr>
          <w:rFonts w:ascii="Times New Roman" w:hAnsi="Times New Roman" w:cs="Times New Roman"/>
          <w:color w:val="000000" w:themeColor="text1"/>
        </w:rPr>
        <w:t xml:space="preserve"> (“U.N.”</w:t>
      </w:r>
      <w:r w:rsidR="004E62DD">
        <w:rPr>
          <w:rFonts w:ascii="Times New Roman" w:hAnsi="Times New Roman" w:cs="Times New Roman"/>
          <w:color w:val="000000" w:themeColor="text1"/>
        </w:rPr>
        <w:t>)</w:t>
      </w:r>
      <w:r>
        <w:rPr>
          <w:rFonts w:ascii="Times New Roman" w:hAnsi="Times New Roman" w:cs="Times New Roman"/>
          <w:color w:val="000000" w:themeColor="text1"/>
        </w:rPr>
        <w:t xml:space="preserve"> proposed </w:t>
      </w:r>
      <w:r w:rsidR="007B5F72">
        <w:rPr>
          <w:rFonts w:ascii="Times New Roman" w:hAnsi="Times New Roman" w:cs="Times New Roman"/>
          <w:color w:val="000000" w:themeColor="text1"/>
        </w:rPr>
        <w:t xml:space="preserve">the </w:t>
      </w:r>
      <w:r>
        <w:rPr>
          <w:rFonts w:ascii="Times New Roman" w:hAnsi="Times New Roman" w:cs="Times New Roman"/>
          <w:color w:val="000000" w:themeColor="text1"/>
        </w:rPr>
        <w:t>Framework of Analysis for Atrocity Crimes (</w:t>
      </w:r>
      <w:r w:rsidR="00D641C1">
        <w:rPr>
          <w:rFonts w:ascii="Times New Roman" w:hAnsi="Times New Roman" w:cs="Times New Roman"/>
          <w:color w:val="000000" w:themeColor="text1"/>
        </w:rPr>
        <w:t>“</w:t>
      </w:r>
      <w:r>
        <w:rPr>
          <w:rFonts w:ascii="Times New Roman" w:hAnsi="Times New Roman" w:cs="Times New Roman"/>
          <w:color w:val="000000" w:themeColor="text1"/>
        </w:rPr>
        <w:t>U</w:t>
      </w:r>
      <w:r w:rsidR="000F1860">
        <w:rPr>
          <w:rFonts w:ascii="Times New Roman" w:hAnsi="Times New Roman" w:cs="Times New Roman"/>
          <w:color w:val="000000" w:themeColor="text1"/>
        </w:rPr>
        <w:t>.</w:t>
      </w:r>
      <w:r>
        <w:rPr>
          <w:rFonts w:ascii="Times New Roman" w:hAnsi="Times New Roman" w:cs="Times New Roman"/>
          <w:color w:val="000000" w:themeColor="text1"/>
        </w:rPr>
        <w:t>N</w:t>
      </w:r>
      <w:r w:rsidR="000F1860">
        <w:rPr>
          <w:rFonts w:ascii="Times New Roman" w:hAnsi="Times New Roman" w:cs="Times New Roman"/>
          <w:color w:val="000000" w:themeColor="text1"/>
        </w:rPr>
        <w:t>.</w:t>
      </w:r>
      <w:r>
        <w:rPr>
          <w:rFonts w:ascii="Times New Roman" w:hAnsi="Times New Roman" w:cs="Times New Roman"/>
          <w:color w:val="000000" w:themeColor="text1"/>
        </w:rPr>
        <w:t xml:space="preserve"> Framework</w:t>
      </w:r>
      <w:r w:rsidR="00981577">
        <w:rPr>
          <w:rFonts w:ascii="Times New Roman" w:hAnsi="Times New Roman" w:cs="Times New Roman"/>
          <w:color w:val="000000" w:themeColor="text1"/>
        </w:rPr>
        <w:t xml:space="preserve"> of Analysis</w:t>
      </w:r>
      <w:r w:rsidR="00D641C1">
        <w:rPr>
          <w:rFonts w:ascii="Times New Roman" w:hAnsi="Times New Roman" w:cs="Times New Roman"/>
          <w:color w:val="000000" w:themeColor="text1"/>
        </w:rPr>
        <w:t>”</w:t>
      </w:r>
      <w:r>
        <w:rPr>
          <w:rFonts w:ascii="Times New Roman" w:hAnsi="Times New Roman" w:cs="Times New Roman"/>
          <w:color w:val="000000" w:themeColor="text1"/>
        </w:rPr>
        <w:t xml:space="preserve">) which </w:t>
      </w:r>
      <w:r w:rsidR="00FD251B">
        <w:rPr>
          <w:rFonts w:ascii="Times New Roman" w:hAnsi="Times New Roman" w:cs="Times New Roman"/>
          <w:color w:val="000000" w:themeColor="text1"/>
        </w:rPr>
        <w:t>delineate</w:t>
      </w:r>
      <w:r w:rsidR="00CA2399">
        <w:rPr>
          <w:rFonts w:ascii="Times New Roman" w:hAnsi="Times New Roman" w:cs="Times New Roman"/>
          <w:color w:val="000000" w:themeColor="text1"/>
        </w:rPr>
        <w:t>d</w:t>
      </w:r>
      <w:r w:rsidR="00FD251B">
        <w:rPr>
          <w:rFonts w:ascii="Times New Roman" w:hAnsi="Times New Roman" w:cs="Times New Roman"/>
          <w:color w:val="000000" w:themeColor="text1"/>
        </w:rPr>
        <w:t xml:space="preserve"> a wide variety of </w:t>
      </w:r>
      <w:r w:rsidR="00950C1E">
        <w:rPr>
          <w:rFonts w:ascii="Times New Roman" w:hAnsi="Times New Roman" w:cs="Times New Roman"/>
          <w:color w:val="000000" w:themeColor="text1"/>
        </w:rPr>
        <w:t>Risk Factors</w:t>
      </w:r>
      <w:r w:rsidR="00C914E8">
        <w:rPr>
          <w:rStyle w:val="FootnoteReference"/>
          <w:rFonts w:ascii="Times New Roman" w:hAnsi="Times New Roman" w:cs="Times New Roman"/>
          <w:color w:val="000000" w:themeColor="text1"/>
        </w:rPr>
        <w:footnoteReference w:id="22"/>
      </w:r>
      <w:r w:rsidR="00950C1E">
        <w:rPr>
          <w:rFonts w:ascii="Times New Roman" w:hAnsi="Times New Roman" w:cs="Times New Roman"/>
          <w:color w:val="000000" w:themeColor="text1"/>
        </w:rPr>
        <w:t xml:space="preserve"> and indicators</w:t>
      </w:r>
      <w:r w:rsidR="00FD251B">
        <w:rPr>
          <w:rFonts w:ascii="Times New Roman" w:hAnsi="Times New Roman" w:cs="Times New Roman"/>
          <w:color w:val="000000" w:themeColor="text1"/>
        </w:rPr>
        <w:t>.</w:t>
      </w:r>
      <w:r w:rsidR="00A5301B">
        <w:rPr>
          <w:rStyle w:val="FootnoteReference"/>
          <w:rFonts w:ascii="Times New Roman" w:hAnsi="Times New Roman" w:cs="Times New Roman"/>
          <w:color w:val="000000" w:themeColor="text1"/>
        </w:rPr>
        <w:footnoteReference w:id="23"/>
      </w:r>
      <w:r w:rsidR="00412E04">
        <w:rPr>
          <w:rFonts w:ascii="Times New Roman" w:hAnsi="Times New Roman" w:cs="Times New Roman"/>
          <w:color w:val="000000" w:themeColor="text1"/>
        </w:rPr>
        <w:t xml:space="preserve"> </w:t>
      </w:r>
      <w:r w:rsidR="00CA2399">
        <w:rPr>
          <w:rFonts w:ascii="Times New Roman" w:hAnsi="Times New Roman" w:cs="Times New Roman"/>
          <w:color w:val="000000" w:themeColor="text1"/>
        </w:rPr>
        <w:t xml:space="preserve"> </w:t>
      </w:r>
      <w:r w:rsidR="00E10585">
        <w:rPr>
          <w:rFonts w:ascii="Times New Roman" w:hAnsi="Times New Roman" w:cs="Times New Roman"/>
        </w:rPr>
        <w:t>For example, the Risk Factors for crimes against humanity include “signs of a widespread or systematic attack against any civilian population” (“Risk Factor 11”), and “signs of a plan or policy to attack any civilian population” (“Risk Factor 12”).  Within each Risk Factor is a list of corresponding indicators that describe specific events.</w:t>
      </w:r>
      <w:r w:rsidR="00E10585">
        <w:rPr>
          <w:rStyle w:val="FootnoteReference"/>
          <w:rFonts w:ascii="Times New Roman" w:hAnsi="Times New Roman" w:cs="Times New Roman"/>
        </w:rPr>
        <w:footnoteReference w:id="24"/>
      </w:r>
      <w:r w:rsidR="00CA2399">
        <w:rPr>
          <w:rFonts w:ascii="Times New Roman" w:hAnsi="Times New Roman" w:cs="Times New Roman"/>
        </w:rPr>
        <w:t xml:space="preserve"> </w:t>
      </w:r>
      <w:r w:rsidR="00E10585" w:rsidRPr="00E10585">
        <w:rPr>
          <w:rFonts w:ascii="Times New Roman" w:hAnsi="Times New Roman" w:cs="Times New Roman"/>
          <w:color w:val="000000" w:themeColor="text1"/>
        </w:rPr>
        <w:t xml:space="preserve"> </w:t>
      </w:r>
      <w:r w:rsidR="00E10585">
        <w:rPr>
          <w:rFonts w:ascii="Times New Roman" w:hAnsi="Times New Roman" w:cs="Times New Roman"/>
          <w:color w:val="000000" w:themeColor="text1"/>
        </w:rPr>
        <w:t>These Risk Factors are arranged by specific crime, and can be understood as potential points for early intervention in line with the doctrine of R2P.</w:t>
      </w:r>
      <w:r w:rsidR="00E10585">
        <w:rPr>
          <w:rStyle w:val="FootnoteReference"/>
          <w:rFonts w:ascii="Times New Roman" w:hAnsi="Times New Roman" w:cs="Times New Roman"/>
          <w:color w:val="000000" w:themeColor="text1"/>
        </w:rPr>
        <w:footnoteReference w:id="25"/>
      </w:r>
      <w:r w:rsidR="00E10585">
        <w:rPr>
          <w:rFonts w:ascii="Times New Roman" w:hAnsi="Times New Roman" w:cs="Times New Roman"/>
          <w:color w:val="000000" w:themeColor="text1"/>
        </w:rPr>
        <w:t xml:space="preserve">  </w:t>
      </w:r>
    </w:p>
    <w:p w14:paraId="62ACDBF6" w14:textId="6559EF30" w:rsidR="002577BE" w:rsidRPr="002577BE" w:rsidRDefault="00E10585" w:rsidP="007D7E9B">
      <w:pPr>
        <w:widowControl w:val="0"/>
        <w:autoSpaceDE w:val="0"/>
        <w:autoSpaceDN w:val="0"/>
        <w:adjustRightInd w:val="0"/>
        <w:spacing w:after="240"/>
        <w:ind w:firstLine="720"/>
        <w:contextualSpacing/>
        <w:jc w:val="both"/>
        <w:rPr>
          <w:rFonts w:ascii="Times New Roman" w:hAnsi="Times New Roman" w:cs="Times New Roman"/>
        </w:rPr>
      </w:pPr>
      <w:r>
        <w:rPr>
          <w:rFonts w:ascii="Times New Roman" w:hAnsi="Times New Roman" w:cs="Times New Roman"/>
        </w:rPr>
        <w:t>An effective mechanism for prevention would</w:t>
      </w:r>
      <w:r w:rsidR="007D7E9B">
        <w:rPr>
          <w:rFonts w:ascii="Times New Roman" w:hAnsi="Times New Roman" w:cs="Times New Roman"/>
        </w:rPr>
        <w:t xml:space="preserve"> </w:t>
      </w:r>
      <w:r>
        <w:rPr>
          <w:rFonts w:ascii="Times New Roman" w:hAnsi="Times New Roman" w:cs="Times New Roman"/>
        </w:rPr>
        <w:t>incorporate the U</w:t>
      </w:r>
      <w:r w:rsidR="000F1860">
        <w:rPr>
          <w:rFonts w:ascii="Times New Roman" w:hAnsi="Times New Roman" w:cs="Times New Roman"/>
        </w:rPr>
        <w:t>.</w:t>
      </w:r>
      <w:r>
        <w:rPr>
          <w:rFonts w:ascii="Times New Roman" w:hAnsi="Times New Roman" w:cs="Times New Roman"/>
        </w:rPr>
        <w:t>N</w:t>
      </w:r>
      <w:r w:rsidR="000F1860">
        <w:rPr>
          <w:rFonts w:ascii="Times New Roman" w:hAnsi="Times New Roman" w:cs="Times New Roman"/>
        </w:rPr>
        <w:t>.</w:t>
      </w:r>
      <w:r>
        <w:rPr>
          <w:rFonts w:ascii="Times New Roman" w:hAnsi="Times New Roman" w:cs="Times New Roman"/>
        </w:rPr>
        <w:t xml:space="preserve"> Framework</w:t>
      </w:r>
      <w:r w:rsidR="002577BE">
        <w:rPr>
          <w:rFonts w:ascii="Times New Roman" w:hAnsi="Times New Roman" w:cs="Times New Roman"/>
        </w:rPr>
        <w:t xml:space="preserve"> of Analysis</w:t>
      </w:r>
      <w:r>
        <w:rPr>
          <w:rFonts w:ascii="Times New Roman" w:hAnsi="Times New Roman" w:cs="Times New Roman"/>
        </w:rPr>
        <w:t xml:space="preserve"> into the R2P toolbox, and act as a capacity building tool for the global atrocity prevention </w:t>
      </w:r>
      <w:r>
        <w:rPr>
          <w:rFonts w:ascii="Times New Roman" w:hAnsi="Times New Roman" w:cs="Times New Roman"/>
        </w:rPr>
        <w:lastRenderedPageBreak/>
        <w:t>community.</w:t>
      </w:r>
      <w:r>
        <w:rPr>
          <w:rStyle w:val="FootnoteReference"/>
          <w:rFonts w:ascii="Times New Roman" w:hAnsi="Times New Roman" w:cs="Times New Roman"/>
        </w:rPr>
        <w:footnoteReference w:id="26"/>
      </w:r>
      <w:r>
        <w:rPr>
          <w:rFonts w:ascii="Times New Roman" w:hAnsi="Times New Roman" w:cs="Times New Roman"/>
        </w:rPr>
        <w:t xml:space="preserve">  In theory, such a mechanism could work with </w:t>
      </w:r>
      <w:r w:rsidR="008522D8">
        <w:rPr>
          <w:rFonts w:ascii="Times New Roman" w:hAnsi="Times New Roman" w:cs="Times New Roman"/>
        </w:rPr>
        <w:t>any Risk Factor; however, this N</w:t>
      </w:r>
      <w:r>
        <w:rPr>
          <w:rFonts w:ascii="Times New Roman" w:hAnsi="Times New Roman" w:cs="Times New Roman"/>
        </w:rPr>
        <w:t>ote will focus on Risk Factor 7, “Enabling circumstances or preparatory action,”</w:t>
      </w:r>
      <w:r>
        <w:rPr>
          <w:rStyle w:val="FootnoteReference"/>
          <w:rFonts w:ascii="Times New Roman" w:hAnsi="Times New Roman" w:cs="Times New Roman"/>
        </w:rPr>
        <w:footnoteReference w:id="27"/>
      </w:r>
      <w:r>
        <w:rPr>
          <w:rFonts w:ascii="Times New Roman" w:hAnsi="Times New Roman" w:cs="Times New Roman"/>
        </w:rPr>
        <w:t xml:space="preserve"> which is a common Risk Factor.</w:t>
      </w:r>
      <w:r>
        <w:rPr>
          <w:rStyle w:val="FootnoteReference"/>
          <w:rFonts w:ascii="Times New Roman" w:hAnsi="Times New Roman" w:cs="Times New Roman"/>
        </w:rPr>
        <w:footnoteReference w:id="28"/>
      </w:r>
      <w:r>
        <w:rPr>
          <w:rFonts w:ascii="Times New Roman" w:hAnsi="Times New Roman" w:cs="Times New Roman"/>
        </w:rPr>
        <w:t xml:space="preserve">  The benefit of working with a common Risk Factor is that one system of prevention can work to reduce the risk of all three atrocity crimes.  Additionally, the majority of the indicators within this particular Risk Factor are both tangible and quantifiable,</w:t>
      </w:r>
      <w:r>
        <w:rPr>
          <w:rStyle w:val="FootnoteReference"/>
          <w:rFonts w:ascii="Times New Roman" w:hAnsi="Times New Roman" w:cs="Times New Roman"/>
        </w:rPr>
        <w:footnoteReference w:id="29"/>
      </w:r>
      <w:r>
        <w:rPr>
          <w:rFonts w:ascii="Times New Roman" w:hAnsi="Times New Roman" w:cs="Times New Roman"/>
        </w:rPr>
        <w:t xml:space="preserve"> and</w:t>
      </w:r>
      <w:r w:rsidR="00DF383F">
        <w:rPr>
          <w:rFonts w:ascii="Times New Roman" w:hAnsi="Times New Roman" w:cs="Times New Roman"/>
        </w:rPr>
        <w:t>,</w:t>
      </w:r>
      <w:r>
        <w:rPr>
          <w:rFonts w:ascii="Times New Roman" w:hAnsi="Times New Roman" w:cs="Times New Roman"/>
        </w:rPr>
        <w:t xml:space="preserve"> as such, it will be difficult for the perpetrator to deny</w:t>
      </w:r>
      <w:r w:rsidR="002577BE">
        <w:rPr>
          <w:rFonts w:ascii="Times New Roman" w:hAnsi="Times New Roman" w:cs="Times New Roman"/>
        </w:rPr>
        <w:t xml:space="preserve"> the presence of the indicators—which will allow for more effective intervention.</w:t>
      </w:r>
    </w:p>
    <w:p w14:paraId="3E91E49B" w14:textId="17937670" w:rsidR="005A154C" w:rsidRDefault="003A5BA1" w:rsidP="00D061BD">
      <w:pPr>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These developing methodologies should be merged into a new, more effective system of atrocity prevention. </w:t>
      </w:r>
      <w:r w:rsidR="00DF383F">
        <w:rPr>
          <w:rFonts w:ascii="Times New Roman" w:hAnsi="Times New Roman" w:cs="Times New Roman"/>
          <w:color w:val="000000" w:themeColor="text1"/>
        </w:rPr>
        <w:t xml:space="preserve"> </w:t>
      </w:r>
      <w:r w:rsidR="00F53E9B">
        <w:rPr>
          <w:rFonts w:ascii="Times New Roman" w:hAnsi="Times New Roman" w:cs="Times New Roman"/>
          <w:color w:val="000000" w:themeColor="text1"/>
        </w:rPr>
        <w:t xml:space="preserve">This </w:t>
      </w:r>
      <w:r w:rsidR="003C45E1">
        <w:rPr>
          <w:rFonts w:ascii="Times New Roman" w:hAnsi="Times New Roman" w:cs="Times New Roman"/>
          <w:color w:val="000000" w:themeColor="text1"/>
        </w:rPr>
        <w:t>Note</w:t>
      </w:r>
      <w:r w:rsidR="00F53E9B">
        <w:rPr>
          <w:rFonts w:ascii="Times New Roman" w:hAnsi="Times New Roman" w:cs="Times New Roman"/>
          <w:color w:val="000000" w:themeColor="text1"/>
        </w:rPr>
        <w:t xml:space="preserve"> explore</w:t>
      </w:r>
      <w:r w:rsidR="008464F6">
        <w:rPr>
          <w:rFonts w:ascii="Times New Roman" w:hAnsi="Times New Roman" w:cs="Times New Roman"/>
          <w:color w:val="000000" w:themeColor="text1"/>
        </w:rPr>
        <w:t>s</w:t>
      </w:r>
      <w:r w:rsidR="00F53E9B">
        <w:rPr>
          <w:rFonts w:ascii="Times New Roman" w:hAnsi="Times New Roman" w:cs="Times New Roman"/>
          <w:color w:val="000000" w:themeColor="text1"/>
        </w:rPr>
        <w:t xml:space="preserve"> the possibility of victim</w:t>
      </w:r>
      <w:r w:rsidR="00412E04">
        <w:rPr>
          <w:rFonts w:ascii="Times New Roman" w:hAnsi="Times New Roman" w:cs="Times New Roman"/>
          <w:color w:val="000000" w:themeColor="text1"/>
        </w:rPr>
        <w:t>-</w:t>
      </w:r>
      <w:r w:rsidR="00F53E9B">
        <w:rPr>
          <w:rFonts w:ascii="Times New Roman" w:hAnsi="Times New Roman" w:cs="Times New Roman"/>
          <w:color w:val="000000" w:themeColor="text1"/>
        </w:rPr>
        <w:t>offender mediation</w:t>
      </w:r>
      <w:r w:rsidR="00535E6A">
        <w:rPr>
          <w:rFonts w:ascii="Times New Roman" w:hAnsi="Times New Roman" w:cs="Times New Roman"/>
          <w:color w:val="000000" w:themeColor="text1"/>
        </w:rPr>
        <w:t xml:space="preserve"> or negotiation</w:t>
      </w:r>
      <w:r w:rsidR="003B1B26">
        <w:rPr>
          <w:rStyle w:val="FootnoteReference"/>
          <w:rFonts w:ascii="Times New Roman" w:hAnsi="Times New Roman" w:cs="Times New Roman"/>
          <w:color w:val="000000" w:themeColor="text1"/>
        </w:rPr>
        <w:footnoteReference w:id="30"/>
      </w:r>
      <w:r w:rsidR="00F53E9B">
        <w:rPr>
          <w:rFonts w:ascii="Times New Roman" w:hAnsi="Times New Roman" w:cs="Times New Roman"/>
          <w:color w:val="000000" w:themeColor="text1"/>
        </w:rPr>
        <w:t xml:space="preserve"> as a means of early non</w:t>
      </w:r>
      <w:r w:rsidR="007B4EC9">
        <w:rPr>
          <w:rFonts w:ascii="Times New Roman" w:hAnsi="Times New Roman" w:cs="Times New Roman"/>
          <w:color w:val="000000" w:themeColor="text1"/>
        </w:rPr>
        <w:t>-</w:t>
      </w:r>
      <w:r w:rsidR="00F53E9B">
        <w:rPr>
          <w:rFonts w:ascii="Times New Roman" w:hAnsi="Times New Roman" w:cs="Times New Roman"/>
          <w:color w:val="000000" w:themeColor="text1"/>
        </w:rPr>
        <w:t xml:space="preserve">military intervention for atrocity crimes, in situations in which indicators from Risk Factor 7 of the </w:t>
      </w:r>
      <w:r w:rsidR="00607BBD">
        <w:rPr>
          <w:rFonts w:ascii="Times New Roman" w:hAnsi="Times New Roman" w:cs="Times New Roman"/>
          <w:color w:val="000000" w:themeColor="text1"/>
        </w:rPr>
        <w:t>U.N.</w:t>
      </w:r>
      <w:r w:rsidR="00F53E9B">
        <w:rPr>
          <w:rFonts w:ascii="Times New Roman" w:hAnsi="Times New Roman" w:cs="Times New Roman"/>
          <w:color w:val="000000" w:themeColor="text1"/>
        </w:rPr>
        <w:t xml:space="preserve"> Framework</w:t>
      </w:r>
      <w:r w:rsidR="002577BE">
        <w:rPr>
          <w:rFonts w:ascii="Times New Roman" w:hAnsi="Times New Roman" w:cs="Times New Roman"/>
          <w:color w:val="000000" w:themeColor="text1"/>
        </w:rPr>
        <w:t xml:space="preserve"> of Analysis</w:t>
      </w:r>
      <w:r w:rsidR="00F53E9B">
        <w:rPr>
          <w:rStyle w:val="FootnoteReference"/>
          <w:rFonts w:ascii="Times New Roman" w:hAnsi="Times New Roman" w:cs="Times New Roman"/>
          <w:color w:val="000000" w:themeColor="text1"/>
        </w:rPr>
        <w:footnoteReference w:id="31"/>
      </w:r>
      <w:r w:rsidR="009B232C">
        <w:rPr>
          <w:rFonts w:ascii="Times New Roman" w:hAnsi="Times New Roman" w:cs="Times New Roman"/>
          <w:color w:val="000000" w:themeColor="text1"/>
        </w:rPr>
        <w:t xml:space="preserve"> </w:t>
      </w:r>
      <w:r w:rsidR="00062BF1">
        <w:rPr>
          <w:rFonts w:ascii="Times New Roman" w:hAnsi="Times New Roman" w:cs="Times New Roman"/>
          <w:color w:val="000000" w:themeColor="text1"/>
        </w:rPr>
        <w:t>are present,</w:t>
      </w:r>
      <w:r w:rsidR="00E96281">
        <w:rPr>
          <w:rFonts w:ascii="Times New Roman" w:hAnsi="Times New Roman" w:cs="Times New Roman"/>
          <w:color w:val="000000" w:themeColor="text1"/>
        </w:rPr>
        <w:t xml:space="preserve"> and argues that the international community should turn to such forms of mediation and negotiation more often in order to prevent atrocities.</w:t>
      </w:r>
      <w:r w:rsidR="00412E04">
        <w:rPr>
          <w:rFonts w:ascii="Times New Roman" w:hAnsi="Times New Roman" w:cs="Times New Roman"/>
          <w:color w:val="000000" w:themeColor="text1"/>
        </w:rPr>
        <w:t xml:space="preserve">  </w:t>
      </w:r>
      <w:r w:rsidR="00C90F51">
        <w:rPr>
          <w:rFonts w:ascii="Times New Roman" w:hAnsi="Times New Roman" w:cs="Times New Roman"/>
          <w:color w:val="000000" w:themeColor="text1"/>
        </w:rPr>
        <w:t>Section II provides a brief history of atrocity prevention,</w:t>
      </w:r>
      <w:r w:rsidR="00606A21">
        <w:rPr>
          <w:rFonts w:ascii="Times New Roman" w:hAnsi="Times New Roman" w:cs="Times New Roman"/>
          <w:color w:val="000000" w:themeColor="text1"/>
        </w:rPr>
        <w:t xml:space="preserve"> and</w:t>
      </w:r>
      <w:r w:rsidR="00C90F51">
        <w:rPr>
          <w:rFonts w:ascii="Times New Roman" w:hAnsi="Times New Roman" w:cs="Times New Roman"/>
          <w:color w:val="000000" w:themeColor="text1"/>
        </w:rPr>
        <w:t xml:space="preserve"> </w:t>
      </w:r>
      <w:r w:rsidR="00606A21">
        <w:rPr>
          <w:rFonts w:ascii="Times New Roman" w:hAnsi="Times New Roman" w:cs="Times New Roman"/>
          <w:color w:val="000000" w:themeColor="text1"/>
        </w:rPr>
        <w:t>explores</w:t>
      </w:r>
      <w:r w:rsidR="00C90F51">
        <w:rPr>
          <w:rFonts w:ascii="Times New Roman" w:hAnsi="Times New Roman" w:cs="Times New Roman"/>
          <w:color w:val="000000" w:themeColor="text1"/>
        </w:rPr>
        <w:t xml:space="preserve"> other proposals for early warning</w:t>
      </w:r>
      <w:r w:rsidR="00F66FFE">
        <w:rPr>
          <w:rFonts w:ascii="Times New Roman" w:hAnsi="Times New Roman" w:cs="Times New Roman"/>
          <w:color w:val="000000" w:themeColor="text1"/>
        </w:rPr>
        <w:t xml:space="preserve"> and non</w:t>
      </w:r>
      <w:r w:rsidR="007B4EC9">
        <w:rPr>
          <w:rFonts w:ascii="Times New Roman" w:hAnsi="Times New Roman" w:cs="Times New Roman"/>
          <w:color w:val="000000" w:themeColor="text1"/>
        </w:rPr>
        <w:t>-</w:t>
      </w:r>
      <w:r w:rsidR="00412E04">
        <w:rPr>
          <w:rFonts w:ascii="Times New Roman" w:hAnsi="Times New Roman" w:cs="Times New Roman"/>
          <w:color w:val="000000" w:themeColor="text1"/>
        </w:rPr>
        <w:t xml:space="preserve">military intervention.  </w:t>
      </w:r>
      <w:r w:rsidR="00606A21">
        <w:rPr>
          <w:rFonts w:ascii="Times New Roman" w:hAnsi="Times New Roman" w:cs="Times New Roman"/>
          <w:color w:val="000000" w:themeColor="text1"/>
        </w:rPr>
        <w:t>This section also highlights the shortcomings of exist</w:t>
      </w:r>
      <w:r w:rsidR="00412E04">
        <w:rPr>
          <w:rFonts w:ascii="Times New Roman" w:hAnsi="Times New Roman" w:cs="Times New Roman"/>
          <w:color w:val="000000" w:themeColor="text1"/>
        </w:rPr>
        <w:t xml:space="preserve">ing atrocity prevention models.  </w:t>
      </w:r>
      <w:r w:rsidR="00C90F51">
        <w:rPr>
          <w:rFonts w:ascii="Times New Roman" w:hAnsi="Times New Roman" w:cs="Times New Roman"/>
          <w:color w:val="000000" w:themeColor="text1"/>
        </w:rPr>
        <w:t xml:space="preserve">Section III </w:t>
      </w:r>
      <w:r w:rsidR="00E96281">
        <w:rPr>
          <w:rFonts w:ascii="Times New Roman" w:hAnsi="Times New Roman" w:cs="Times New Roman"/>
          <w:color w:val="000000" w:themeColor="text1"/>
        </w:rPr>
        <w:t xml:space="preserve">evaluates </w:t>
      </w:r>
      <w:r w:rsidR="00C90F51">
        <w:rPr>
          <w:rFonts w:ascii="Times New Roman" w:hAnsi="Times New Roman" w:cs="Times New Roman"/>
          <w:color w:val="000000" w:themeColor="text1"/>
        </w:rPr>
        <w:t>situations in which victim</w:t>
      </w:r>
      <w:r w:rsidR="00606A21">
        <w:rPr>
          <w:rFonts w:ascii="Times New Roman" w:hAnsi="Times New Roman" w:cs="Times New Roman"/>
          <w:color w:val="000000" w:themeColor="text1"/>
        </w:rPr>
        <w:t>-</w:t>
      </w:r>
      <w:r w:rsidR="00C90F51">
        <w:rPr>
          <w:rFonts w:ascii="Times New Roman" w:hAnsi="Times New Roman" w:cs="Times New Roman"/>
          <w:color w:val="000000" w:themeColor="text1"/>
        </w:rPr>
        <w:t>offender mediation</w:t>
      </w:r>
      <w:r w:rsidR="00535E6A">
        <w:rPr>
          <w:rFonts w:ascii="Times New Roman" w:hAnsi="Times New Roman" w:cs="Times New Roman"/>
          <w:color w:val="000000" w:themeColor="text1"/>
        </w:rPr>
        <w:t xml:space="preserve"> and negotiation have</w:t>
      </w:r>
      <w:r w:rsidR="00C90F51">
        <w:rPr>
          <w:rFonts w:ascii="Times New Roman" w:hAnsi="Times New Roman" w:cs="Times New Roman"/>
          <w:color w:val="000000" w:themeColor="text1"/>
        </w:rPr>
        <w:t xml:space="preserve"> been used to resolve situations of violent conflict,</w:t>
      </w:r>
      <w:r w:rsidR="00713518">
        <w:rPr>
          <w:rStyle w:val="FootnoteReference"/>
          <w:rFonts w:ascii="Times New Roman" w:hAnsi="Times New Roman" w:cs="Times New Roman"/>
          <w:color w:val="000000" w:themeColor="text1"/>
        </w:rPr>
        <w:footnoteReference w:id="32"/>
      </w:r>
      <w:r w:rsidR="00C90F51">
        <w:rPr>
          <w:rFonts w:ascii="Times New Roman" w:hAnsi="Times New Roman" w:cs="Times New Roman"/>
          <w:color w:val="000000" w:themeColor="text1"/>
        </w:rPr>
        <w:t xml:space="preserve"> and </w:t>
      </w:r>
      <w:r w:rsidR="002341C1">
        <w:rPr>
          <w:rFonts w:ascii="Times New Roman" w:hAnsi="Times New Roman" w:cs="Times New Roman"/>
          <w:color w:val="000000" w:themeColor="text1"/>
        </w:rPr>
        <w:t>analy</w:t>
      </w:r>
      <w:r w:rsidR="00B9325F">
        <w:rPr>
          <w:rFonts w:ascii="Times New Roman" w:hAnsi="Times New Roman" w:cs="Times New Roman"/>
          <w:color w:val="000000" w:themeColor="text1"/>
        </w:rPr>
        <w:t>zes</w:t>
      </w:r>
      <w:r w:rsidR="002341C1">
        <w:rPr>
          <w:rFonts w:ascii="Times New Roman" w:hAnsi="Times New Roman" w:cs="Times New Roman"/>
          <w:color w:val="000000" w:themeColor="text1"/>
        </w:rPr>
        <w:t xml:space="preserve"> </w:t>
      </w:r>
      <w:r w:rsidR="002341C1">
        <w:rPr>
          <w:rFonts w:ascii="Times New Roman" w:hAnsi="Times New Roman" w:cs="Times New Roman"/>
          <w:color w:val="000000" w:themeColor="text1"/>
        </w:rPr>
        <w:lastRenderedPageBreak/>
        <w:t>the differences and similarities between those situations and the circumstan</w:t>
      </w:r>
      <w:r w:rsidR="00412E04">
        <w:rPr>
          <w:rFonts w:ascii="Times New Roman" w:hAnsi="Times New Roman" w:cs="Times New Roman"/>
          <w:color w:val="000000" w:themeColor="text1"/>
        </w:rPr>
        <w:t xml:space="preserve">ces described in Risk Factor 7.  </w:t>
      </w:r>
      <w:r w:rsidR="00713518">
        <w:rPr>
          <w:rFonts w:ascii="Times New Roman" w:hAnsi="Times New Roman" w:cs="Times New Roman"/>
          <w:color w:val="000000" w:themeColor="text1"/>
        </w:rPr>
        <w:t xml:space="preserve">The primary purpose of this section is to examine the various </w:t>
      </w:r>
      <w:r w:rsidR="00012376">
        <w:rPr>
          <w:rFonts w:ascii="Times New Roman" w:hAnsi="Times New Roman" w:cs="Times New Roman"/>
          <w:color w:val="000000" w:themeColor="text1"/>
        </w:rPr>
        <w:t>Alternative Dispute Resolution (“</w:t>
      </w:r>
      <w:r w:rsidR="00713518">
        <w:rPr>
          <w:rFonts w:ascii="Times New Roman" w:hAnsi="Times New Roman" w:cs="Times New Roman"/>
          <w:color w:val="000000" w:themeColor="text1"/>
        </w:rPr>
        <w:t>ADR</w:t>
      </w:r>
      <w:r w:rsidR="00012376">
        <w:rPr>
          <w:rFonts w:ascii="Times New Roman" w:hAnsi="Times New Roman" w:cs="Times New Roman"/>
          <w:color w:val="000000" w:themeColor="text1"/>
        </w:rPr>
        <w:t>”</w:t>
      </w:r>
      <w:r w:rsidR="00D061BD">
        <w:rPr>
          <w:rFonts w:ascii="Times New Roman" w:hAnsi="Times New Roman" w:cs="Times New Roman"/>
          <w:color w:val="000000" w:themeColor="text1"/>
        </w:rPr>
        <w:t>)</w:t>
      </w:r>
      <w:r w:rsidR="00D061BD">
        <w:rPr>
          <w:rStyle w:val="CommentReference"/>
        </w:rPr>
        <w:t xml:space="preserve"> </w:t>
      </w:r>
      <w:r w:rsidR="00D061BD">
        <w:rPr>
          <w:rFonts w:ascii="Times New Roman" w:hAnsi="Times New Roman" w:cs="Times New Roman"/>
          <w:color w:val="000000" w:themeColor="text1"/>
        </w:rPr>
        <w:t>m</w:t>
      </w:r>
      <w:r w:rsidR="00713518">
        <w:rPr>
          <w:rFonts w:ascii="Times New Roman" w:hAnsi="Times New Roman" w:cs="Times New Roman"/>
          <w:color w:val="000000" w:themeColor="text1"/>
        </w:rPr>
        <w:t>echanisms that have been used in the past to combat violent conflict.</w:t>
      </w:r>
      <w:r w:rsidR="00742B0F">
        <w:rPr>
          <w:rFonts w:ascii="Times New Roman" w:hAnsi="Times New Roman" w:cs="Times New Roman"/>
          <w:color w:val="000000" w:themeColor="text1"/>
        </w:rPr>
        <w:t xml:space="preserve"> </w:t>
      </w:r>
      <w:r w:rsidR="00F66FFE">
        <w:rPr>
          <w:rFonts w:ascii="Times New Roman" w:hAnsi="Times New Roman" w:cs="Times New Roman"/>
          <w:color w:val="000000" w:themeColor="text1"/>
        </w:rPr>
        <w:t xml:space="preserve"> </w:t>
      </w:r>
      <w:r w:rsidR="002341C1">
        <w:rPr>
          <w:rFonts w:ascii="Times New Roman" w:hAnsi="Times New Roman" w:cs="Times New Roman"/>
          <w:color w:val="000000" w:themeColor="text1"/>
        </w:rPr>
        <w:t>Lastly, Section IV outlines what an interventionist system of victim</w:t>
      </w:r>
      <w:r w:rsidR="007B4EC9">
        <w:rPr>
          <w:rFonts w:ascii="Times New Roman" w:hAnsi="Times New Roman" w:cs="Times New Roman"/>
          <w:color w:val="000000" w:themeColor="text1"/>
        </w:rPr>
        <w:t>-</w:t>
      </w:r>
      <w:r w:rsidR="002341C1">
        <w:rPr>
          <w:rFonts w:ascii="Times New Roman" w:hAnsi="Times New Roman" w:cs="Times New Roman"/>
          <w:color w:val="000000" w:themeColor="text1"/>
        </w:rPr>
        <w:t>offender mediation</w:t>
      </w:r>
      <w:r w:rsidR="00535E6A">
        <w:rPr>
          <w:rFonts w:ascii="Times New Roman" w:hAnsi="Times New Roman" w:cs="Times New Roman"/>
          <w:color w:val="000000" w:themeColor="text1"/>
        </w:rPr>
        <w:t xml:space="preserve"> and negotiation</w:t>
      </w:r>
      <w:r w:rsidR="002341C1">
        <w:rPr>
          <w:rFonts w:ascii="Times New Roman" w:hAnsi="Times New Roman" w:cs="Times New Roman"/>
          <w:color w:val="000000" w:themeColor="text1"/>
        </w:rPr>
        <w:t xml:space="preserve"> based on Risk Factor 7 of t</w:t>
      </w:r>
      <w:r w:rsidR="00543990">
        <w:rPr>
          <w:rFonts w:ascii="Times New Roman" w:hAnsi="Times New Roman" w:cs="Times New Roman"/>
          <w:color w:val="000000" w:themeColor="text1"/>
        </w:rPr>
        <w:t xml:space="preserve">he </w:t>
      </w:r>
      <w:r w:rsidR="00607BBD">
        <w:rPr>
          <w:rFonts w:ascii="Times New Roman" w:hAnsi="Times New Roman" w:cs="Times New Roman"/>
          <w:color w:val="000000" w:themeColor="text1"/>
        </w:rPr>
        <w:t>U.N.</w:t>
      </w:r>
      <w:r w:rsidR="00543990">
        <w:rPr>
          <w:rFonts w:ascii="Times New Roman" w:hAnsi="Times New Roman" w:cs="Times New Roman"/>
          <w:color w:val="000000" w:themeColor="text1"/>
        </w:rPr>
        <w:t xml:space="preserve"> Framework </w:t>
      </w:r>
      <w:r w:rsidR="002577BE">
        <w:rPr>
          <w:rFonts w:ascii="Times New Roman" w:hAnsi="Times New Roman" w:cs="Times New Roman"/>
          <w:color w:val="000000" w:themeColor="text1"/>
        </w:rPr>
        <w:t xml:space="preserve">of Analysis </w:t>
      </w:r>
      <w:r w:rsidR="00543990">
        <w:rPr>
          <w:rFonts w:ascii="Times New Roman" w:hAnsi="Times New Roman" w:cs="Times New Roman"/>
          <w:color w:val="000000" w:themeColor="text1"/>
        </w:rPr>
        <w:t>would look like;</w:t>
      </w:r>
      <w:r w:rsidR="002341C1">
        <w:rPr>
          <w:rFonts w:ascii="Times New Roman" w:hAnsi="Times New Roman" w:cs="Times New Roman"/>
          <w:color w:val="000000" w:themeColor="text1"/>
        </w:rPr>
        <w:t xml:space="preserve"> </w:t>
      </w:r>
      <w:r w:rsidR="004E1B7D">
        <w:rPr>
          <w:rFonts w:ascii="Times New Roman" w:hAnsi="Times New Roman" w:cs="Times New Roman"/>
          <w:color w:val="000000" w:themeColor="text1"/>
        </w:rPr>
        <w:t>discusses the potential effectiveness of such a system</w:t>
      </w:r>
      <w:r w:rsidR="00543990">
        <w:rPr>
          <w:rFonts w:ascii="Times New Roman" w:hAnsi="Times New Roman" w:cs="Times New Roman"/>
          <w:color w:val="000000" w:themeColor="text1"/>
        </w:rPr>
        <w:t>; and addresses what added value such a mechanism would have to the “preventative toolbox.”</w:t>
      </w:r>
      <w:r w:rsidR="00543990">
        <w:rPr>
          <w:rStyle w:val="FootnoteReference"/>
          <w:rFonts w:ascii="Times New Roman" w:hAnsi="Times New Roman" w:cs="Times New Roman"/>
          <w:color w:val="000000" w:themeColor="text1"/>
        </w:rPr>
        <w:footnoteReference w:id="33"/>
      </w:r>
      <w:r w:rsidR="004E1B7D">
        <w:rPr>
          <w:rFonts w:ascii="Times New Roman" w:hAnsi="Times New Roman" w:cs="Times New Roman"/>
          <w:color w:val="000000" w:themeColor="text1"/>
        </w:rPr>
        <w:t xml:space="preserve"> </w:t>
      </w:r>
    </w:p>
    <w:p w14:paraId="35954B88" w14:textId="77777777" w:rsidR="00347FCC" w:rsidRDefault="00347FCC" w:rsidP="006009D2">
      <w:pPr>
        <w:ind w:firstLine="720"/>
        <w:jc w:val="both"/>
        <w:rPr>
          <w:rFonts w:ascii="Times New Roman" w:hAnsi="Times New Roman" w:cs="Times New Roman"/>
          <w:color w:val="000000" w:themeColor="text1"/>
        </w:rPr>
      </w:pPr>
    </w:p>
    <w:p w14:paraId="5D63A60B" w14:textId="79C3E8C4" w:rsidR="00EA39DB" w:rsidRPr="00987C06" w:rsidRDefault="002373AB" w:rsidP="00987C06">
      <w:pPr>
        <w:jc w:val="center"/>
        <w:rPr>
          <w:rFonts w:ascii="Times New Roman" w:hAnsi="Times New Roman" w:cs="Times New Roman"/>
          <w:smallCaps/>
          <w:color w:val="000000" w:themeColor="text1"/>
        </w:rPr>
      </w:pPr>
      <w:r w:rsidRPr="00987C06">
        <w:rPr>
          <w:rFonts w:ascii="Times New Roman" w:hAnsi="Times New Roman" w:cs="Times New Roman"/>
          <w:smallCaps/>
          <w:color w:val="000000" w:themeColor="text1"/>
        </w:rPr>
        <w:t xml:space="preserve">II.  </w:t>
      </w:r>
      <w:r w:rsidR="005A154C" w:rsidRPr="00987C06">
        <w:rPr>
          <w:rFonts w:ascii="Times New Roman" w:hAnsi="Times New Roman" w:cs="Times New Roman"/>
          <w:smallCaps/>
          <w:color w:val="000000" w:themeColor="text1"/>
        </w:rPr>
        <w:t>Background</w:t>
      </w:r>
    </w:p>
    <w:p w14:paraId="45C228E4" w14:textId="77777777" w:rsidR="00347FCC" w:rsidRPr="003354CC" w:rsidRDefault="00347FCC" w:rsidP="006009D2">
      <w:pPr>
        <w:pStyle w:val="ListParagraph"/>
        <w:ind w:left="1080"/>
        <w:rPr>
          <w:rFonts w:ascii="Times New Roman" w:hAnsi="Times New Roman" w:cs="Times New Roman"/>
          <w:smallCaps/>
          <w:color w:val="000000" w:themeColor="text1"/>
        </w:rPr>
      </w:pPr>
    </w:p>
    <w:p w14:paraId="52E5DEC5" w14:textId="15F991E2" w:rsidR="00EA39DB" w:rsidRPr="00987C06" w:rsidRDefault="002373AB" w:rsidP="00987C06">
      <w:pPr>
        <w:jc w:val="center"/>
        <w:rPr>
          <w:rFonts w:ascii="Times New Roman" w:hAnsi="Times New Roman" w:cs="Times New Roman"/>
          <w:color w:val="000000" w:themeColor="text1"/>
        </w:rPr>
      </w:pPr>
      <w:r w:rsidRPr="00987C06">
        <w:rPr>
          <w:rFonts w:ascii="Times New Roman" w:hAnsi="Times New Roman" w:cs="Times New Roman"/>
          <w:color w:val="000000" w:themeColor="text1"/>
        </w:rPr>
        <w:t xml:space="preserve">A.  </w:t>
      </w:r>
      <w:r w:rsidR="00686548" w:rsidRPr="00987C06">
        <w:rPr>
          <w:rFonts w:ascii="Times New Roman" w:hAnsi="Times New Roman" w:cs="Times New Roman"/>
          <w:i/>
          <w:color w:val="000000" w:themeColor="text1"/>
        </w:rPr>
        <w:t>The Origins of</w:t>
      </w:r>
      <w:r w:rsidR="00D305AC" w:rsidRPr="00987C06">
        <w:rPr>
          <w:rFonts w:ascii="Times New Roman" w:hAnsi="Times New Roman" w:cs="Times New Roman"/>
          <w:i/>
          <w:color w:val="000000" w:themeColor="text1"/>
        </w:rPr>
        <w:t xml:space="preserve"> Atrocity Prevention</w:t>
      </w:r>
      <w:r w:rsidR="004203E2" w:rsidRPr="00987C06">
        <w:rPr>
          <w:rFonts w:ascii="Times New Roman" w:hAnsi="Times New Roman" w:cs="Times New Roman"/>
          <w:i/>
          <w:color w:val="000000" w:themeColor="text1"/>
        </w:rPr>
        <w:t>: Naming the Problem</w:t>
      </w:r>
    </w:p>
    <w:p w14:paraId="6EF95D28" w14:textId="77777777" w:rsidR="007058A5" w:rsidRPr="003354CC" w:rsidRDefault="007058A5" w:rsidP="006009D2">
      <w:pPr>
        <w:pStyle w:val="ListParagraph"/>
        <w:rPr>
          <w:rFonts w:ascii="Times New Roman" w:hAnsi="Times New Roman" w:cs="Times New Roman"/>
          <w:color w:val="000000" w:themeColor="text1"/>
        </w:rPr>
      </w:pPr>
    </w:p>
    <w:p w14:paraId="564C7FD8" w14:textId="4C7357FB" w:rsidR="005F35FE" w:rsidRPr="005F35FE" w:rsidRDefault="005A154C" w:rsidP="00AE548F">
      <w:pPr>
        <w:ind w:firstLine="720"/>
        <w:jc w:val="both"/>
        <w:rPr>
          <w:rFonts w:ascii="Times New Roman" w:hAnsi="Times New Roman" w:cs="Times New Roman"/>
        </w:rPr>
      </w:pPr>
      <w:r>
        <w:rPr>
          <w:rFonts w:ascii="Times New Roman" w:hAnsi="Times New Roman" w:cs="Times New Roman"/>
        </w:rPr>
        <w:t>The roots of atrocity prevention can be traced to the end of World War II.</w:t>
      </w:r>
      <w:r w:rsidR="00412E04">
        <w:rPr>
          <w:rFonts w:ascii="Times New Roman" w:hAnsi="Times New Roman" w:cs="Times New Roman"/>
        </w:rPr>
        <w:t xml:space="preserve">  </w:t>
      </w:r>
      <w:r w:rsidR="00AF5219">
        <w:rPr>
          <w:rFonts w:ascii="Times New Roman" w:hAnsi="Times New Roman" w:cs="Times New Roman"/>
        </w:rPr>
        <w:t>One of the first efforts toward preventing atrocities was the creation of the United Nations.</w:t>
      </w:r>
      <w:r w:rsidR="006B1092">
        <w:rPr>
          <w:rFonts w:ascii="Times New Roman" w:hAnsi="Times New Roman" w:cs="Times New Roman"/>
        </w:rPr>
        <w:t xml:space="preserve"> </w:t>
      </w:r>
      <w:r w:rsidR="00AF5219">
        <w:rPr>
          <w:rFonts w:ascii="Times New Roman" w:hAnsi="Times New Roman" w:cs="Times New Roman"/>
        </w:rPr>
        <w:t xml:space="preserve"> According to the </w:t>
      </w:r>
      <w:r w:rsidR="00607BBD">
        <w:rPr>
          <w:rFonts w:ascii="Times New Roman" w:hAnsi="Times New Roman" w:cs="Times New Roman"/>
        </w:rPr>
        <w:t>U.N.</w:t>
      </w:r>
      <w:r w:rsidR="00AF5219">
        <w:rPr>
          <w:rFonts w:ascii="Times New Roman" w:hAnsi="Times New Roman" w:cs="Times New Roman"/>
        </w:rPr>
        <w:t xml:space="preserve"> Charter, the purpose of </w:t>
      </w:r>
      <w:r w:rsidR="002577BE">
        <w:rPr>
          <w:rFonts w:ascii="Times New Roman" w:hAnsi="Times New Roman" w:cs="Times New Roman"/>
        </w:rPr>
        <w:t xml:space="preserve">the </w:t>
      </w:r>
      <w:r w:rsidR="00607BBD">
        <w:rPr>
          <w:rFonts w:ascii="Times New Roman" w:hAnsi="Times New Roman" w:cs="Times New Roman"/>
        </w:rPr>
        <w:t>U.N.</w:t>
      </w:r>
      <w:r w:rsidR="00AF5219">
        <w:rPr>
          <w:rFonts w:ascii="Times New Roman" w:hAnsi="Times New Roman" w:cs="Times New Roman"/>
        </w:rPr>
        <w:t xml:space="preserve"> is </w:t>
      </w:r>
      <w:r w:rsidR="007E397D">
        <w:rPr>
          <w:rFonts w:ascii="Times New Roman" w:hAnsi="Times New Roman" w:cs="Times New Roman"/>
        </w:rPr>
        <w:t>“</w:t>
      </w:r>
      <w:r w:rsidR="00AF5219">
        <w:rPr>
          <w:rFonts w:ascii="Times New Roman" w:hAnsi="Times New Roman" w:cs="Times New Roman"/>
        </w:rPr>
        <w:t>to</w:t>
      </w:r>
      <w:r w:rsidR="007E397D">
        <w:rPr>
          <w:rFonts w:ascii="Times New Roman" w:hAnsi="Times New Roman" w:cs="Times New Roman"/>
        </w:rPr>
        <w:t xml:space="preserve"> maintain international peace and security, and </w:t>
      </w:r>
      <w:r w:rsidR="007E397D" w:rsidRPr="00E96281">
        <w:rPr>
          <w:rFonts w:ascii="Times New Roman" w:hAnsi="Times New Roman" w:cs="Times New Roman"/>
        </w:rPr>
        <w:t>to that end:</w:t>
      </w:r>
      <w:r w:rsidR="007E397D">
        <w:rPr>
          <w:rFonts w:ascii="Times New Roman" w:hAnsi="Times New Roman" w:cs="Times New Roman"/>
        </w:rPr>
        <w:t xml:space="preserve"> to take effective measures for the prevention and removal of threats to the peace</w:t>
      </w:r>
      <w:r w:rsidR="00BC2E1E">
        <w:rPr>
          <w:rFonts w:ascii="Times New Roman" w:hAnsi="Times New Roman" w:cs="Times New Roman"/>
        </w:rPr>
        <w:t xml:space="preserve"> . . .</w:t>
      </w:r>
      <w:r w:rsidR="007E397D">
        <w:rPr>
          <w:rFonts w:ascii="Times New Roman" w:hAnsi="Times New Roman" w:cs="Times New Roman"/>
        </w:rPr>
        <w:t>”</w:t>
      </w:r>
      <w:r w:rsidR="007E397D">
        <w:rPr>
          <w:rStyle w:val="FootnoteReference"/>
          <w:rFonts w:ascii="Times New Roman" w:hAnsi="Times New Roman" w:cs="Times New Roman"/>
        </w:rPr>
        <w:footnoteReference w:id="34"/>
      </w:r>
      <w:r w:rsidR="00681D41">
        <w:rPr>
          <w:rFonts w:ascii="Times New Roman" w:hAnsi="Times New Roman" w:cs="Times New Roman"/>
        </w:rPr>
        <w:t xml:space="preserve">  </w:t>
      </w:r>
      <w:r w:rsidR="007E397D" w:rsidRPr="00E96281">
        <w:rPr>
          <w:rFonts w:ascii="Times New Roman" w:hAnsi="Times New Roman" w:cs="Times New Roman"/>
        </w:rPr>
        <w:t xml:space="preserve">To </w:t>
      </w:r>
      <w:r w:rsidR="00E96281">
        <w:rPr>
          <w:rFonts w:ascii="Times New Roman" w:hAnsi="Times New Roman" w:cs="Times New Roman"/>
        </w:rPr>
        <w:t>achieve these goals,</w:t>
      </w:r>
      <w:r w:rsidR="007E397D">
        <w:rPr>
          <w:rFonts w:ascii="Times New Roman" w:hAnsi="Times New Roman" w:cs="Times New Roman"/>
        </w:rPr>
        <w:t xml:space="preserve"> the </w:t>
      </w:r>
      <w:r w:rsidR="00607BBD">
        <w:rPr>
          <w:rFonts w:ascii="Times New Roman" w:hAnsi="Times New Roman" w:cs="Times New Roman"/>
        </w:rPr>
        <w:t>U.N.</w:t>
      </w:r>
      <w:r w:rsidR="007E397D">
        <w:rPr>
          <w:rFonts w:ascii="Times New Roman" w:hAnsi="Times New Roman" w:cs="Times New Roman"/>
        </w:rPr>
        <w:t xml:space="preserve"> Charter created a complex system of international agencies and councils tasked with mandates</w:t>
      </w:r>
      <w:r w:rsidR="00016CE1">
        <w:rPr>
          <w:rFonts w:ascii="Times New Roman" w:hAnsi="Times New Roman" w:cs="Times New Roman"/>
        </w:rPr>
        <w:t xml:space="preserve"> on a variety of issues, ranging from human rights to security</w:t>
      </w:r>
      <w:r w:rsidR="007E397D">
        <w:rPr>
          <w:rFonts w:ascii="Times New Roman" w:hAnsi="Times New Roman" w:cs="Times New Roman"/>
        </w:rPr>
        <w:t>.</w:t>
      </w:r>
      <w:r w:rsidR="00024F79">
        <w:rPr>
          <w:rStyle w:val="FootnoteReference"/>
          <w:rFonts w:ascii="Times New Roman" w:hAnsi="Times New Roman" w:cs="Times New Roman"/>
        </w:rPr>
        <w:footnoteReference w:id="35"/>
      </w:r>
      <w:r w:rsidR="00412E04">
        <w:rPr>
          <w:rFonts w:ascii="Times New Roman" w:hAnsi="Times New Roman" w:cs="Times New Roman"/>
        </w:rPr>
        <w:t xml:space="preserve">  </w:t>
      </w:r>
      <w:r w:rsidR="007E397D">
        <w:rPr>
          <w:rFonts w:ascii="Times New Roman" w:hAnsi="Times New Roman" w:cs="Times New Roman"/>
        </w:rPr>
        <w:t xml:space="preserve">One such body is the General Assembly, </w:t>
      </w:r>
      <w:r w:rsidR="004E2E24">
        <w:rPr>
          <w:rFonts w:ascii="Times New Roman" w:hAnsi="Times New Roman" w:cs="Times New Roman"/>
        </w:rPr>
        <w:t xml:space="preserve">which is </w:t>
      </w:r>
      <w:r w:rsidR="007E397D">
        <w:rPr>
          <w:rFonts w:ascii="Times New Roman" w:hAnsi="Times New Roman" w:cs="Times New Roman"/>
        </w:rPr>
        <w:t>frequently</w:t>
      </w:r>
      <w:r w:rsidR="007E397D" w:rsidRPr="004E2E24">
        <w:rPr>
          <w:rFonts w:ascii="Times New Roman" w:hAnsi="Times New Roman" w:cs="Times New Roman"/>
          <w:color w:val="000000" w:themeColor="text1"/>
        </w:rPr>
        <w:t xml:space="preserve"> </w:t>
      </w:r>
      <w:r w:rsidR="004E2E24" w:rsidRPr="004E2E24">
        <w:rPr>
          <w:rFonts w:ascii="Times New Roman" w:hAnsi="Times New Roman" w:cs="Times New Roman"/>
          <w:color w:val="000000" w:themeColor="text1"/>
        </w:rPr>
        <w:t>described</w:t>
      </w:r>
      <w:r w:rsidR="007E397D" w:rsidRPr="004E2E24">
        <w:rPr>
          <w:rFonts w:ascii="Times New Roman" w:hAnsi="Times New Roman" w:cs="Times New Roman"/>
          <w:color w:val="000000" w:themeColor="text1"/>
        </w:rPr>
        <w:t xml:space="preserve"> </w:t>
      </w:r>
      <w:r w:rsidR="007E397D">
        <w:rPr>
          <w:rFonts w:ascii="Times New Roman" w:hAnsi="Times New Roman" w:cs="Times New Roman"/>
        </w:rPr>
        <w:t xml:space="preserve">as the legislative branch of the </w:t>
      </w:r>
      <w:r w:rsidR="00607BBD">
        <w:rPr>
          <w:rFonts w:ascii="Times New Roman" w:hAnsi="Times New Roman" w:cs="Times New Roman"/>
        </w:rPr>
        <w:t>U.N.</w:t>
      </w:r>
      <w:r w:rsidR="007E397D">
        <w:rPr>
          <w:rFonts w:ascii="Times New Roman" w:hAnsi="Times New Roman" w:cs="Times New Roman"/>
        </w:rPr>
        <w:t>.</w:t>
      </w:r>
      <w:r w:rsidR="00412E04">
        <w:rPr>
          <w:rFonts w:ascii="Times New Roman" w:hAnsi="Times New Roman" w:cs="Times New Roman"/>
        </w:rPr>
        <w:t xml:space="preserve">  </w:t>
      </w:r>
      <w:r w:rsidR="007E397D">
        <w:rPr>
          <w:rFonts w:ascii="Times New Roman" w:hAnsi="Times New Roman" w:cs="Times New Roman"/>
        </w:rPr>
        <w:t>The General Assembly can pass non</w:t>
      </w:r>
      <w:r w:rsidR="007B4EC9">
        <w:rPr>
          <w:rFonts w:ascii="Times New Roman" w:hAnsi="Times New Roman" w:cs="Times New Roman"/>
        </w:rPr>
        <w:t>-</w:t>
      </w:r>
      <w:r w:rsidR="007E397D">
        <w:rPr>
          <w:rFonts w:ascii="Times New Roman" w:hAnsi="Times New Roman" w:cs="Times New Roman"/>
        </w:rPr>
        <w:t xml:space="preserve">binding resolutions and </w:t>
      </w:r>
      <w:r w:rsidR="00024F79">
        <w:rPr>
          <w:rFonts w:ascii="Times New Roman" w:hAnsi="Times New Roman" w:cs="Times New Roman"/>
        </w:rPr>
        <w:t>adopt treaties.</w:t>
      </w:r>
      <w:r w:rsidR="00024F79">
        <w:rPr>
          <w:rStyle w:val="FootnoteReference"/>
          <w:rFonts w:ascii="Times New Roman" w:hAnsi="Times New Roman" w:cs="Times New Roman"/>
        </w:rPr>
        <w:footnoteReference w:id="36"/>
      </w:r>
      <w:r w:rsidR="003A5BA1">
        <w:rPr>
          <w:rFonts w:ascii="Times New Roman" w:hAnsi="Times New Roman" w:cs="Times New Roman"/>
        </w:rPr>
        <w:t xml:space="preserve">  Perhaps the </w:t>
      </w:r>
      <w:r w:rsidR="00BD3EFB">
        <w:rPr>
          <w:rFonts w:ascii="Times New Roman" w:hAnsi="Times New Roman" w:cs="Times New Roman"/>
        </w:rPr>
        <w:t xml:space="preserve">most important </w:t>
      </w:r>
      <w:r w:rsidR="00607BBD">
        <w:rPr>
          <w:rFonts w:ascii="Times New Roman" w:hAnsi="Times New Roman" w:cs="Times New Roman"/>
        </w:rPr>
        <w:t>U.N.</w:t>
      </w:r>
      <w:r w:rsidR="00BD3EFB">
        <w:rPr>
          <w:rFonts w:ascii="Times New Roman" w:hAnsi="Times New Roman" w:cs="Times New Roman"/>
        </w:rPr>
        <w:t xml:space="preserve"> body </w:t>
      </w:r>
      <w:r w:rsidR="00E92A0A">
        <w:rPr>
          <w:rFonts w:ascii="Times New Roman" w:hAnsi="Times New Roman" w:cs="Times New Roman"/>
        </w:rPr>
        <w:t xml:space="preserve">for the purpose of preventing atrocities is the Security Council. </w:t>
      </w:r>
      <w:r w:rsidR="00BC2E1E">
        <w:rPr>
          <w:rFonts w:ascii="Times New Roman" w:hAnsi="Times New Roman" w:cs="Times New Roman"/>
        </w:rPr>
        <w:t xml:space="preserve"> </w:t>
      </w:r>
      <w:r w:rsidR="00E92A0A">
        <w:rPr>
          <w:rFonts w:ascii="Times New Roman" w:hAnsi="Times New Roman" w:cs="Times New Roman"/>
        </w:rPr>
        <w:t xml:space="preserve">The Security Council is effectively the executive branch of the </w:t>
      </w:r>
      <w:proofErr w:type="gramStart"/>
      <w:r w:rsidR="00607BBD">
        <w:rPr>
          <w:rFonts w:ascii="Times New Roman" w:hAnsi="Times New Roman" w:cs="Times New Roman"/>
        </w:rPr>
        <w:t>U.N.</w:t>
      </w:r>
      <w:r w:rsidR="00E92A0A">
        <w:rPr>
          <w:rFonts w:ascii="Times New Roman" w:hAnsi="Times New Roman" w:cs="Times New Roman"/>
        </w:rPr>
        <w:t>.</w:t>
      </w:r>
      <w:proofErr w:type="gramEnd"/>
      <w:r w:rsidR="00E92A0A">
        <w:rPr>
          <w:rFonts w:ascii="Times New Roman" w:hAnsi="Times New Roman" w:cs="Times New Roman"/>
        </w:rPr>
        <w:t xml:space="preserve"> </w:t>
      </w:r>
      <w:r w:rsidR="00BC2E1E">
        <w:rPr>
          <w:rFonts w:ascii="Times New Roman" w:hAnsi="Times New Roman" w:cs="Times New Roman"/>
        </w:rPr>
        <w:t xml:space="preserve"> </w:t>
      </w:r>
      <w:r w:rsidR="00E92A0A">
        <w:rPr>
          <w:rFonts w:ascii="Times New Roman" w:hAnsi="Times New Roman" w:cs="Times New Roman"/>
        </w:rPr>
        <w:t xml:space="preserve">Its resolutions are binding, and it possesses the authority to </w:t>
      </w:r>
      <w:r w:rsidR="005E2304">
        <w:rPr>
          <w:rFonts w:ascii="Times New Roman" w:hAnsi="Times New Roman" w:cs="Times New Roman"/>
        </w:rPr>
        <w:t>pass any resolution it deems necessary “for the maintenance of international peace and security.”</w:t>
      </w:r>
      <w:r w:rsidR="005E2304">
        <w:rPr>
          <w:rStyle w:val="FootnoteReference"/>
          <w:rFonts w:ascii="Times New Roman" w:hAnsi="Times New Roman" w:cs="Times New Roman"/>
        </w:rPr>
        <w:footnoteReference w:id="37"/>
      </w:r>
      <w:r w:rsidR="00AD2C01">
        <w:rPr>
          <w:rFonts w:ascii="Times New Roman" w:hAnsi="Times New Roman" w:cs="Times New Roman"/>
        </w:rPr>
        <w:t xml:space="preserve">  This </w:t>
      </w:r>
      <w:r w:rsidR="00AD2C01">
        <w:rPr>
          <w:rFonts w:ascii="Times New Roman" w:hAnsi="Times New Roman" w:cs="Times New Roman"/>
        </w:rPr>
        <w:lastRenderedPageBreak/>
        <w:t xml:space="preserve">includes authorizing </w:t>
      </w:r>
      <w:r w:rsidR="00D704DF">
        <w:rPr>
          <w:rFonts w:ascii="Times New Roman" w:hAnsi="Times New Roman" w:cs="Times New Roman"/>
        </w:rPr>
        <w:t xml:space="preserve">the use of armed force. </w:t>
      </w:r>
      <w:r w:rsidR="00BC2E1E">
        <w:rPr>
          <w:rFonts w:ascii="Times New Roman" w:hAnsi="Times New Roman" w:cs="Times New Roman"/>
        </w:rPr>
        <w:t xml:space="preserve"> </w:t>
      </w:r>
      <w:r w:rsidR="002944EF">
        <w:rPr>
          <w:rFonts w:ascii="Times New Roman" w:hAnsi="Times New Roman" w:cs="Times New Roman"/>
        </w:rPr>
        <w:t>There are two situations in which it is permissible to use armed force</w:t>
      </w:r>
      <w:r w:rsidR="007869E4">
        <w:rPr>
          <w:rFonts w:ascii="Times New Roman" w:hAnsi="Times New Roman" w:cs="Times New Roman"/>
        </w:rPr>
        <w:t xml:space="preserve">: self-defense, and as a counter to </w:t>
      </w:r>
      <w:r w:rsidR="007F3865">
        <w:rPr>
          <w:rFonts w:ascii="Times New Roman" w:hAnsi="Times New Roman" w:cs="Times New Roman"/>
        </w:rPr>
        <w:t xml:space="preserve">threats to </w:t>
      </w:r>
      <w:r w:rsidR="007869E4">
        <w:rPr>
          <w:rFonts w:ascii="Times New Roman" w:hAnsi="Times New Roman" w:cs="Times New Roman"/>
        </w:rPr>
        <w:t>international peace and security.</w:t>
      </w:r>
      <w:r w:rsidR="00BC2E1E">
        <w:rPr>
          <w:rFonts w:ascii="Times New Roman" w:hAnsi="Times New Roman" w:cs="Times New Roman"/>
        </w:rPr>
        <w:t xml:space="preserve"> </w:t>
      </w:r>
      <w:r w:rsidR="007869E4">
        <w:rPr>
          <w:rFonts w:ascii="Times New Roman" w:hAnsi="Times New Roman" w:cs="Times New Roman"/>
        </w:rPr>
        <w:t xml:space="preserve"> </w:t>
      </w:r>
      <w:r w:rsidR="007F3865">
        <w:rPr>
          <w:rFonts w:ascii="Times New Roman" w:hAnsi="Times New Roman" w:cs="Times New Roman"/>
        </w:rPr>
        <w:t>Typically, those acts that the Security Council deems threats to international peace and security are analogous to atrocity crimes.</w:t>
      </w:r>
      <w:r w:rsidR="00F27E0E">
        <w:rPr>
          <w:rStyle w:val="FootnoteReference"/>
          <w:rFonts w:ascii="Times New Roman" w:hAnsi="Times New Roman" w:cs="Times New Roman"/>
        </w:rPr>
        <w:footnoteReference w:id="38"/>
      </w:r>
      <w:r w:rsidR="00076643">
        <w:rPr>
          <w:rFonts w:ascii="Times New Roman" w:hAnsi="Times New Roman" w:cs="Times New Roman"/>
        </w:rPr>
        <w:t xml:space="preserve">  Although countless atrocities have been committed since the </w:t>
      </w:r>
      <w:r w:rsidR="00607BBD">
        <w:rPr>
          <w:rFonts w:ascii="Times New Roman" w:hAnsi="Times New Roman" w:cs="Times New Roman"/>
        </w:rPr>
        <w:t>U.N.</w:t>
      </w:r>
      <w:r w:rsidR="00076643">
        <w:rPr>
          <w:rFonts w:ascii="Times New Roman" w:hAnsi="Times New Roman" w:cs="Times New Roman"/>
        </w:rPr>
        <w:t xml:space="preserve"> was created, the Security Council has authorized the use of armed force </w:t>
      </w:r>
      <w:r w:rsidR="00AE548F">
        <w:rPr>
          <w:rFonts w:ascii="Times New Roman" w:hAnsi="Times New Roman" w:cs="Times New Roman"/>
        </w:rPr>
        <w:t xml:space="preserve">only </w:t>
      </w:r>
      <w:r w:rsidR="00076643">
        <w:rPr>
          <w:rFonts w:ascii="Times New Roman" w:hAnsi="Times New Roman" w:cs="Times New Roman"/>
        </w:rPr>
        <w:t>twice.</w:t>
      </w:r>
      <w:r w:rsidR="00076643">
        <w:rPr>
          <w:rStyle w:val="FootnoteReference"/>
          <w:rFonts w:ascii="Times New Roman" w:hAnsi="Times New Roman" w:cs="Times New Roman"/>
        </w:rPr>
        <w:footnoteReference w:id="39"/>
      </w:r>
      <w:r w:rsidR="000226B6">
        <w:rPr>
          <w:rFonts w:ascii="Times New Roman" w:hAnsi="Times New Roman" w:cs="Times New Roman"/>
        </w:rPr>
        <w:t xml:space="preserve">  This is due to an inherent flaw in the structure of the Security Council</w:t>
      </w:r>
      <w:r w:rsidR="00BC2E1E">
        <w:rPr>
          <w:rFonts w:ascii="Times New Roman" w:hAnsi="Times New Roman" w:cs="Times New Roman"/>
        </w:rPr>
        <w:t xml:space="preserve">.  </w:t>
      </w:r>
      <w:r w:rsidR="00C621B2">
        <w:rPr>
          <w:rFonts w:ascii="Times New Roman" w:hAnsi="Times New Roman" w:cs="Times New Roman"/>
        </w:rPr>
        <w:t xml:space="preserve">The Security Council is composed of fifteen </w:t>
      </w:r>
      <w:r w:rsidR="00607BBD">
        <w:rPr>
          <w:rFonts w:ascii="Times New Roman" w:hAnsi="Times New Roman" w:cs="Times New Roman"/>
        </w:rPr>
        <w:t>U.N.</w:t>
      </w:r>
      <w:r w:rsidR="00C621B2">
        <w:rPr>
          <w:rFonts w:ascii="Times New Roman" w:hAnsi="Times New Roman" w:cs="Times New Roman"/>
        </w:rPr>
        <w:t xml:space="preserve"> Member States.</w:t>
      </w:r>
      <w:r w:rsidR="00E7424D">
        <w:rPr>
          <w:rStyle w:val="FootnoteReference"/>
          <w:rFonts w:ascii="Times New Roman" w:hAnsi="Times New Roman" w:cs="Times New Roman"/>
        </w:rPr>
        <w:footnoteReference w:id="40"/>
      </w:r>
      <w:r w:rsidR="00FF4C31">
        <w:rPr>
          <w:rFonts w:ascii="Times New Roman" w:hAnsi="Times New Roman" w:cs="Times New Roman"/>
        </w:rPr>
        <w:t xml:space="preserve">  </w:t>
      </w:r>
      <w:r w:rsidR="00234CC4">
        <w:rPr>
          <w:rFonts w:ascii="Times New Roman" w:hAnsi="Times New Roman" w:cs="Times New Roman"/>
        </w:rPr>
        <w:t xml:space="preserve">Ten of these Member States </w:t>
      </w:r>
      <w:r w:rsidR="0056754A">
        <w:rPr>
          <w:rFonts w:ascii="Times New Roman" w:hAnsi="Times New Roman" w:cs="Times New Roman"/>
        </w:rPr>
        <w:t>have non-permanent seats, and serve two-year</w:t>
      </w:r>
      <w:r w:rsidR="0010513C">
        <w:rPr>
          <w:rFonts w:ascii="Times New Roman" w:hAnsi="Times New Roman" w:cs="Times New Roman"/>
        </w:rPr>
        <w:t xml:space="preserve"> staggered terms.</w:t>
      </w:r>
      <w:r w:rsidR="0010513C">
        <w:rPr>
          <w:rStyle w:val="FootnoteReference"/>
          <w:rFonts w:ascii="Times New Roman" w:hAnsi="Times New Roman" w:cs="Times New Roman"/>
        </w:rPr>
        <w:footnoteReference w:id="41"/>
      </w:r>
      <w:r w:rsidR="00002247">
        <w:rPr>
          <w:rFonts w:ascii="Times New Roman" w:hAnsi="Times New Roman" w:cs="Times New Roman"/>
        </w:rPr>
        <w:t xml:space="preserve">  The other five states have permanent membership.</w:t>
      </w:r>
      <w:r w:rsidR="002176D6">
        <w:rPr>
          <w:rStyle w:val="FootnoteReference"/>
          <w:rFonts w:ascii="Times New Roman" w:hAnsi="Times New Roman" w:cs="Times New Roman"/>
        </w:rPr>
        <w:footnoteReference w:id="42"/>
      </w:r>
      <w:r w:rsidR="00002247">
        <w:rPr>
          <w:rFonts w:ascii="Times New Roman" w:hAnsi="Times New Roman" w:cs="Times New Roman"/>
        </w:rPr>
        <w:t xml:space="preserve"> </w:t>
      </w:r>
      <w:r w:rsidR="00BC2E1E">
        <w:rPr>
          <w:rFonts w:ascii="Times New Roman" w:hAnsi="Times New Roman" w:cs="Times New Roman"/>
        </w:rPr>
        <w:t xml:space="preserve"> </w:t>
      </w:r>
      <w:r w:rsidR="00002247">
        <w:rPr>
          <w:rFonts w:ascii="Times New Roman" w:hAnsi="Times New Roman" w:cs="Times New Roman"/>
        </w:rPr>
        <w:t xml:space="preserve">These permanent members are China, </w:t>
      </w:r>
      <w:r w:rsidR="00D061BD">
        <w:rPr>
          <w:rFonts w:ascii="Times New Roman" w:hAnsi="Times New Roman" w:cs="Times New Roman"/>
        </w:rPr>
        <w:t>France</w:t>
      </w:r>
      <w:r w:rsidR="00002247">
        <w:rPr>
          <w:rFonts w:ascii="Times New Roman" w:hAnsi="Times New Roman" w:cs="Times New Roman"/>
        </w:rPr>
        <w:t xml:space="preserve">, </w:t>
      </w:r>
      <w:r w:rsidR="00D061BD">
        <w:rPr>
          <w:rFonts w:ascii="Times New Roman" w:hAnsi="Times New Roman" w:cs="Times New Roman"/>
        </w:rPr>
        <w:t>Russia, the U.K., and the U</w:t>
      </w:r>
      <w:r w:rsidR="00BC2E1E">
        <w:rPr>
          <w:rFonts w:ascii="Times New Roman" w:hAnsi="Times New Roman" w:cs="Times New Roman"/>
        </w:rPr>
        <w:t>.</w:t>
      </w:r>
      <w:r w:rsidR="00D061BD">
        <w:rPr>
          <w:rFonts w:ascii="Times New Roman" w:hAnsi="Times New Roman" w:cs="Times New Roman"/>
        </w:rPr>
        <w:t>S.</w:t>
      </w:r>
      <w:r w:rsidR="00BC2E1E">
        <w:rPr>
          <w:rFonts w:ascii="Times New Roman" w:hAnsi="Times New Roman" w:cs="Times New Roman"/>
        </w:rPr>
        <w:t xml:space="preserve">  </w:t>
      </w:r>
      <w:r w:rsidR="003F180C">
        <w:rPr>
          <w:rFonts w:ascii="Times New Roman" w:hAnsi="Times New Roman" w:cs="Times New Roman"/>
        </w:rPr>
        <w:t>Each of the permanent members has veto power</w:t>
      </w:r>
      <w:r w:rsidR="005F35FE">
        <w:rPr>
          <w:rFonts w:ascii="Times New Roman" w:hAnsi="Times New Roman" w:cs="Times New Roman"/>
        </w:rPr>
        <w:t>—</w:t>
      </w:r>
      <w:r w:rsidR="002176D6">
        <w:rPr>
          <w:rFonts w:ascii="Times New Roman" w:hAnsi="Times New Roman" w:cs="Times New Roman"/>
        </w:rPr>
        <w:t>i</w:t>
      </w:r>
      <w:r w:rsidR="005F35FE">
        <w:rPr>
          <w:rFonts w:ascii="Times New Roman" w:hAnsi="Times New Roman" w:cs="Times New Roman"/>
        </w:rPr>
        <w:t xml:space="preserve">f a single one of the five votes against </w:t>
      </w:r>
      <w:r w:rsidR="002176D6">
        <w:rPr>
          <w:rFonts w:ascii="Times New Roman" w:hAnsi="Times New Roman" w:cs="Times New Roman"/>
        </w:rPr>
        <w:t>a resolution, it does not pass.</w:t>
      </w:r>
      <w:r w:rsidR="002176D6">
        <w:rPr>
          <w:rStyle w:val="FootnoteReference"/>
          <w:rFonts w:ascii="Times New Roman" w:hAnsi="Times New Roman" w:cs="Times New Roman"/>
        </w:rPr>
        <w:footnoteReference w:id="43"/>
      </w:r>
      <w:r w:rsidR="002176D6">
        <w:rPr>
          <w:rFonts w:ascii="Times New Roman" w:hAnsi="Times New Roman" w:cs="Times New Roman"/>
        </w:rPr>
        <w:t xml:space="preserve">  They all must reach a consensus.</w:t>
      </w:r>
      <w:r w:rsidR="009411AC">
        <w:rPr>
          <w:rStyle w:val="FootnoteReference"/>
          <w:rFonts w:ascii="Times New Roman" w:hAnsi="Times New Roman" w:cs="Times New Roman"/>
        </w:rPr>
        <w:footnoteReference w:id="44"/>
      </w:r>
      <w:r w:rsidR="009411AC">
        <w:rPr>
          <w:rFonts w:ascii="Times New Roman" w:hAnsi="Times New Roman" w:cs="Times New Roman"/>
        </w:rPr>
        <w:t xml:space="preserve">  Recently, the five permanent members have been accused of using this veto to preserve their own interests.</w:t>
      </w:r>
      <w:r w:rsidR="009411AC">
        <w:rPr>
          <w:rStyle w:val="FootnoteReference"/>
          <w:rFonts w:ascii="Times New Roman" w:hAnsi="Times New Roman" w:cs="Times New Roman"/>
        </w:rPr>
        <w:footnoteReference w:id="45"/>
      </w:r>
      <w:r w:rsidR="00C506DC">
        <w:rPr>
          <w:rFonts w:ascii="Times New Roman" w:hAnsi="Times New Roman" w:cs="Times New Roman"/>
        </w:rPr>
        <w:t xml:space="preserve">  </w:t>
      </w:r>
      <w:r w:rsidR="000F2EC3">
        <w:rPr>
          <w:rFonts w:ascii="Times New Roman" w:hAnsi="Times New Roman" w:cs="Times New Roman"/>
        </w:rPr>
        <w:t xml:space="preserve">The reason that the Security Council has not </w:t>
      </w:r>
      <w:r w:rsidR="000F2EC3">
        <w:rPr>
          <w:rFonts w:ascii="Times New Roman" w:hAnsi="Times New Roman" w:cs="Times New Roman"/>
        </w:rPr>
        <w:lastRenderedPageBreak/>
        <w:t xml:space="preserve">authorized </w:t>
      </w:r>
      <w:r w:rsidR="00810063">
        <w:rPr>
          <w:rFonts w:ascii="Times New Roman" w:hAnsi="Times New Roman" w:cs="Times New Roman"/>
        </w:rPr>
        <w:t>intervention in Syria is because Russia consistently votes against resolutions authorizing intervention.</w:t>
      </w:r>
      <w:r w:rsidR="00810063">
        <w:rPr>
          <w:rStyle w:val="FootnoteReference"/>
          <w:rFonts w:ascii="Times New Roman" w:hAnsi="Times New Roman" w:cs="Times New Roman"/>
        </w:rPr>
        <w:footnoteReference w:id="46"/>
      </w:r>
      <w:r w:rsidR="00810063">
        <w:rPr>
          <w:rFonts w:ascii="Times New Roman" w:hAnsi="Times New Roman" w:cs="Times New Roman"/>
        </w:rPr>
        <w:t xml:space="preserve"> </w:t>
      </w:r>
    </w:p>
    <w:p w14:paraId="59989205" w14:textId="5060F1AC" w:rsidR="002373AB" w:rsidRDefault="00136D2B" w:rsidP="007D30EA">
      <w:pPr>
        <w:ind w:firstLine="720"/>
        <w:jc w:val="both"/>
        <w:rPr>
          <w:rFonts w:ascii="Times New Roman" w:hAnsi="Times New Roman" w:cs="Times New Roman"/>
        </w:rPr>
      </w:pPr>
      <w:r>
        <w:rPr>
          <w:rFonts w:ascii="Times New Roman" w:hAnsi="Times New Roman" w:cs="Times New Roman"/>
        </w:rPr>
        <w:t>On</w:t>
      </w:r>
      <w:r w:rsidR="00EB6A96">
        <w:rPr>
          <w:rFonts w:ascii="Times New Roman" w:hAnsi="Times New Roman" w:cs="Times New Roman"/>
        </w:rPr>
        <w:t xml:space="preserve">ce the Security Council, Generally Assembly, and other </w:t>
      </w:r>
      <w:r w:rsidR="00607BBD">
        <w:rPr>
          <w:rFonts w:ascii="Times New Roman" w:hAnsi="Times New Roman" w:cs="Times New Roman"/>
        </w:rPr>
        <w:t>U.N.</w:t>
      </w:r>
      <w:r w:rsidR="00EB6A96">
        <w:rPr>
          <w:rFonts w:ascii="Times New Roman" w:hAnsi="Times New Roman" w:cs="Times New Roman"/>
        </w:rPr>
        <w:t xml:space="preserve"> bodies were established, one </w:t>
      </w:r>
      <w:r>
        <w:rPr>
          <w:rFonts w:ascii="Times New Roman" w:hAnsi="Times New Roman" w:cs="Times New Roman"/>
        </w:rPr>
        <w:t xml:space="preserve">of the first measures taken </w:t>
      </w:r>
      <w:r w:rsidR="000226B6">
        <w:rPr>
          <w:rFonts w:ascii="Times New Roman" w:hAnsi="Times New Roman" w:cs="Times New Roman"/>
        </w:rPr>
        <w:t xml:space="preserve">by the </w:t>
      </w:r>
      <w:r w:rsidR="00607BBD">
        <w:rPr>
          <w:rFonts w:ascii="Times New Roman" w:hAnsi="Times New Roman" w:cs="Times New Roman"/>
        </w:rPr>
        <w:t>U.N.</w:t>
      </w:r>
      <w:r>
        <w:rPr>
          <w:rFonts w:ascii="Times New Roman" w:hAnsi="Times New Roman" w:cs="Times New Roman"/>
        </w:rPr>
        <w:t xml:space="preserve"> was the signing of the Genocide Convention in 1948.</w:t>
      </w:r>
      <w:r w:rsidR="00FA65E9">
        <w:rPr>
          <w:rStyle w:val="FootnoteReference"/>
          <w:rFonts w:ascii="Times New Roman" w:hAnsi="Times New Roman" w:cs="Times New Roman"/>
        </w:rPr>
        <w:footnoteReference w:id="47"/>
      </w:r>
      <w:r w:rsidR="00412E04">
        <w:rPr>
          <w:rFonts w:ascii="Times New Roman" w:hAnsi="Times New Roman" w:cs="Times New Roman"/>
        </w:rPr>
        <w:t xml:space="preserve">  </w:t>
      </w:r>
      <w:r w:rsidR="005F002C">
        <w:rPr>
          <w:rFonts w:ascii="Times New Roman" w:hAnsi="Times New Roman" w:cs="Times New Roman"/>
          <w:color w:val="000000" w:themeColor="text1"/>
        </w:rPr>
        <w:t>The passage of this convention was the result of many years of work by Raphael Lemkin, a Polish lawyer whose family perished in the Holocaust.</w:t>
      </w:r>
      <w:r w:rsidR="00024F79">
        <w:rPr>
          <w:rStyle w:val="FootnoteReference"/>
          <w:rFonts w:ascii="Times New Roman" w:hAnsi="Times New Roman" w:cs="Times New Roman"/>
          <w:color w:val="000000" w:themeColor="text1"/>
        </w:rPr>
        <w:footnoteReference w:id="48"/>
      </w:r>
      <w:r w:rsidR="00412E04">
        <w:rPr>
          <w:rFonts w:ascii="Times New Roman" w:hAnsi="Times New Roman" w:cs="Times New Roman"/>
          <w:color w:val="FF0000"/>
        </w:rPr>
        <w:t xml:space="preserve">  </w:t>
      </w:r>
      <w:r w:rsidR="00FA65E9">
        <w:rPr>
          <w:rFonts w:ascii="Times New Roman" w:hAnsi="Times New Roman" w:cs="Times New Roman"/>
        </w:rPr>
        <w:t>This document outlines a specific definition for the crime of genocide</w:t>
      </w:r>
      <w:r w:rsidR="006A20DD">
        <w:rPr>
          <w:rFonts w:ascii="Times New Roman" w:hAnsi="Times New Roman" w:cs="Times New Roman"/>
        </w:rPr>
        <w:t>:</w:t>
      </w:r>
    </w:p>
    <w:p w14:paraId="2C6762F6" w14:textId="260CD725" w:rsidR="002373AB" w:rsidRDefault="00E15D04" w:rsidP="007D30EA">
      <w:pPr>
        <w:ind w:left="720" w:right="720"/>
        <w:jc w:val="both"/>
        <w:rPr>
          <w:rFonts w:ascii="Times New Roman" w:hAnsi="Times New Roman" w:cs="Times New Roman"/>
          <w:color w:val="000000" w:themeColor="text1"/>
        </w:rPr>
      </w:pPr>
      <w:r>
        <w:rPr>
          <w:rFonts w:ascii="Times New Roman" w:hAnsi="Times New Roman" w:cs="Times New Roman"/>
        </w:rPr>
        <w:t>any of the following acts, committed with intent to destroy, in whole or in part, a national</w:t>
      </w:r>
      <w:r w:rsidR="00FA65E9">
        <w:rPr>
          <w:rFonts w:ascii="Times New Roman" w:hAnsi="Times New Roman" w:cs="Times New Roman"/>
          <w:color w:val="000000" w:themeColor="text1"/>
        </w:rPr>
        <w:t>,</w:t>
      </w:r>
      <w:r>
        <w:rPr>
          <w:rFonts w:ascii="Times New Roman" w:hAnsi="Times New Roman" w:cs="Times New Roman"/>
          <w:color w:val="000000" w:themeColor="text1"/>
        </w:rPr>
        <w:t xml:space="preserve"> ethnical, racial or religious group, as such</w:t>
      </w:r>
      <w:r w:rsidR="004C4973">
        <w:rPr>
          <w:rFonts w:ascii="Times New Roman" w:hAnsi="Times New Roman" w:cs="Times New Roman"/>
          <w:color w:val="000000" w:themeColor="text1"/>
        </w:rPr>
        <w:t>: (a) Killing members of the group; (b) Causing serious bodily or mental harm to members of the group; (c) Deliberately inflicting on the group conditions of life calculated to bring about its physical destruction in whole or in part; (d) Imposing measures intended to prevent births within the group; (e) Forcibly transferring children of the group to another group</w:t>
      </w:r>
      <w:r w:rsidR="00E43731">
        <w:rPr>
          <w:rFonts w:ascii="Times New Roman" w:hAnsi="Times New Roman" w:cs="Times New Roman"/>
          <w:color w:val="000000" w:themeColor="text1"/>
        </w:rPr>
        <w:t>.</w:t>
      </w:r>
      <w:r w:rsidR="004C4973">
        <w:rPr>
          <w:rStyle w:val="FootnoteReference"/>
          <w:rFonts w:ascii="Times New Roman" w:hAnsi="Times New Roman" w:cs="Times New Roman"/>
          <w:color w:val="000000" w:themeColor="text1"/>
        </w:rPr>
        <w:footnoteReference w:id="49"/>
      </w:r>
    </w:p>
    <w:p w14:paraId="6D07CB27" w14:textId="44D9700B" w:rsidR="00280D23" w:rsidRPr="00BF3A30" w:rsidRDefault="00E43731" w:rsidP="00A2250B">
      <w:pPr>
        <w:jc w:val="both"/>
        <w:rPr>
          <w:rFonts w:ascii="Times New Roman" w:hAnsi="Times New Roman" w:cs="Times New Roman"/>
        </w:rPr>
      </w:pPr>
      <w:r>
        <w:rPr>
          <w:rFonts w:ascii="Times New Roman" w:hAnsi="Times New Roman" w:cs="Times New Roman"/>
          <w:color w:val="000000" w:themeColor="text1"/>
        </w:rPr>
        <w:t xml:space="preserve">In addition, the Convention </w:t>
      </w:r>
      <w:r w:rsidR="00FA65E9">
        <w:rPr>
          <w:rFonts w:ascii="Times New Roman" w:hAnsi="Times New Roman" w:cs="Times New Roman"/>
          <w:color w:val="000000" w:themeColor="text1"/>
        </w:rPr>
        <w:t xml:space="preserve">establishes a legal </w:t>
      </w:r>
      <w:r w:rsidR="00F66FFE">
        <w:rPr>
          <w:rFonts w:ascii="Times New Roman" w:hAnsi="Times New Roman" w:cs="Times New Roman"/>
          <w:color w:val="000000" w:themeColor="text1"/>
        </w:rPr>
        <w:t>obligation to prevent genocide.</w:t>
      </w:r>
      <w:r w:rsidR="00024F79">
        <w:rPr>
          <w:rStyle w:val="FootnoteReference"/>
          <w:rFonts w:ascii="Times New Roman" w:hAnsi="Times New Roman" w:cs="Times New Roman"/>
          <w:color w:val="000000" w:themeColor="text1"/>
        </w:rPr>
        <w:footnoteReference w:id="50"/>
      </w:r>
      <w:r w:rsidR="00412E04">
        <w:rPr>
          <w:rFonts w:ascii="Times New Roman" w:hAnsi="Times New Roman" w:cs="Times New Roman"/>
          <w:color w:val="000000" w:themeColor="text1"/>
        </w:rPr>
        <w:t xml:space="preserve">  </w:t>
      </w:r>
      <w:r w:rsidR="00FA65E9">
        <w:rPr>
          <w:rFonts w:ascii="Times New Roman" w:hAnsi="Times New Roman" w:cs="Times New Roman"/>
          <w:color w:val="000000" w:themeColor="text1"/>
        </w:rPr>
        <w:t>However, it does not set up a framework for prevention</w:t>
      </w:r>
      <w:r w:rsidR="00ED342E">
        <w:rPr>
          <w:rFonts w:ascii="Times New Roman" w:hAnsi="Times New Roman" w:cs="Times New Roman"/>
          <w:color w:val="000000" w:themeColor="text1"/>
        </w:rPr>
        <w:t xml:space="preserve">, and enforcement mechanisms are </w:t>
      </w:r>
      <w:r w:rsidR="00A73141">
        <w:rPr>
          <w:rFonts w:ascii="Times New Roman" w:hAnsi="Times New Roman" w:cs="Times New Roman"/>
          <w:color w:val="000000" w:themeColor="text1"/>
        </w:rPr>
        <w:t>broad and difficult to apply</w:t>
      </w:r>
      <w:r w:rsidR="00FA65E9">
        <w:rPr>
          <w:rFonts w:ascii="Times New Roman" w:hAnsi="Times New Roman" w:cs="Times New Roman"/>
          <w:color w:val="000000" w:themeColor="text1"/>
        </w:rPr>
        <w:t>.</w:t>
      </w:r>
      <w:r w:rsidR="00FA65E9">
        <w:rPr>
          <w:rStyle w:val="FootnoteReference"/>
          <w:rFonts w:ascii="Times New Roman" w:hAnsi="Times New Roman" w:cs="Times New Roman"/>
          <w:color w:val="000000" w:themeColor="text1"/>
        </w:rPr>
        <w:footnoteReference w:id="51"/>
      </w:r>
      <w:r w:rsidR="00412E04">
        <w:rPr>
          <w:rFonts w:ascii="Times New Roman" w:hAnsi="Times New Roman" w:cs="Times New Roman"/>
          <w:color w:val="000000" w:themeColor="text1"/>
        </w:rPr>
        <w:t xml:space="preserve">  </w:t>
      </w:r>
      <w:r w:rsidR="00FA65E9">
        <w:rPr>
          <w:rFonts w:ascii="Times New Roman" w:hAnsi="Times New Roman" w:cs="Times New Roman"/>
          <w:color w:val="000000" w:themeColor="text1"/>
        </w:rPr>
        <w:t xml:space="preserve">The only </w:t>
      </w:r>
      <w:r w:rsidR="00080D23">
        <w:rPr>
          <w:rFonts w:ascii="Times New Roman" w:hAnsi="Times New Roman" w:cs="Times New Roman"/>
          <w:color w:val="000000" w:themeColor="text1"/>
        </w:rPr>
        <w:t xml:space="preserve">preventative measures provided </w:t>
      </w:r>
      <w:r w:rsidR="00FA65E9">
        <w:rPr>
          <w:rFonts w:ascii="Times New Roman" w:hAnsi="Times New Roman" w:cs="Times New Roman"/>
          <w:color w:val="000000" w:themeColor="text1"/>
        </w:rPr>
        <w:t xml:space="preserve">are that </w:t>
      </w:r>
      <w:r w:rsidR="001C0B41">
        <w:rPr>
          <w:rFonts w:ascii="Times New Roman" w:hAnsi="Times New Roman" w:cs="Times New Roman"/>
          <w:color w:val="000000" w:themeColor="text1"/>
        </w:rPr>
        <w:t>the alleged genocide should be</w:t>
      </w:r>
      <w:r w:rsidR="00EA39DB">
        <w:rPr>
          <w:rFonts w:ascii="Times New Roman" w:hAnsi="Times New Roman" w:cs="Times New Roman"/>
          <w:color w:val="000000" w:themeColor="text1"/>
        </w:rPr>
        <w:t xml:space="preserve"> </w:t>
      </w:r>
      <w:r w:rsidR="001C0B41">
        <w:rPr>
          <w:rFonts w:ascii="Times New Roman" w:hAnsi="Times New Roman" w:cs="Times New Roman"/>
          <w:color w:val="000000" w:themeColor="text1"/>
        </w:rPr>
        <w:t xml:space="preserve">brought to the attention of the Security Council and that </w:t>
      </w:r>
      <w:r w:rsidR="00080D23">
        <w:rPr>
          <w:rFonts w:ascii="Times New Roman" w:hAnsi="Times New Roman" w:cs="Times New Roman"/>
          <w:color w:val="000000" w:themeColor="text1"/>
        </w:rPr>
        <w:t xml:space="preserve">state </w:t>
      </w:r>
      <w:r w:rsidR="001C0B41">
        <w:rPr>
          <w:rFonts w:ascii="Times New Roman" w:hAnsi="Times New Roman" w:cs="Times New Roman"/>
          <w:color w:val="000000" w:themeColor="text1"/>
        </w:rPr>
        <w:t>perpetrators of genocide can be prosecuted before the International Court of Justice</w:t>
      </w:r>
      <w:r w:rsidR="001C0B41">
        <w:rPr>
          <w:rStyle w:val="FootnoteReference"/>
          <w:rFonts w:ascii="Times New Roman" w:hAnsi="Times New Roman" w:cs="Times New Roman"/>
          <w:color w:val="000000" w:themeColor="text1"/>
        </w:rPr>
        <w:footnoteReference w:id="52"/>
      </w:r>
      <w:r w:rsidR="001C0B41">
        <w:rPr>
          <w:rFonts w:ascii="Times New Roman" w:hAnsi="Times New Roman" w:cs="Times New Roman"/>
          <w:color w:val="000000" w:themeColor="text1"/>
        </w:rPr>
        <w:t xml:space="preserve"> (</w:t>
      </w:r>
      <w:r w:rsidR="00D641C1">
        <w:rPr>
          <w:rFonts w:ascii="Times New Roman" w:hAnsi="Times New Roman" w:cs="Times New Roman"/>
          <w:color w:val="000000" w:themeColor="text1"/>
        </w:rPr>
        <w:t>“</w:t>
      </w:r>
      <w:r w:rsidR="001C0B41">
        <w:rPr>
          <w:rFonts w:ascii="Times New Roman" w:hAnsi="Times New Roman" w:cs="Times New Roman"/>
          <w:color w:val="000000" w:themeColor="text1"/>
        </w:rPr>
        <w:t>ICJ</w:t>
      </w:r>
      <w:r w:rsidR="00D641C1">
        <w:rPr>
          <w:rFonts w:ascii="Times New Roman" w:hAnsi="Times New Roman" w:cs="Times New Roman"/>
          <w:color w:val="000000" w:themeColor="text1"/>
        </w:rPr>
        <w:t>”</w:t>
      </w:r>
      <w:r w:rsidR="001C0B41">
        <w:rPr>
          <w:rFonts w:ascii="Times New Roman" w:hAnsi="Times New Roman" w:cs="Times New Roman"/>
          <w:color w:val="000000" w:themeColor="text1"/>
        </w:rPr>
        <w:t>).</w:t>
      </w:r>
      <w:r w:rsidR="00EB6A96">
        <w:rPr>
          <w:rFonts w:ascii="Times New Roman" w:hAnsi="Times New Roman" w:cs="Times New Roman"/>
          <w:color w:val="000000" w:themeColor="text1"/>
        </w:rPr>
        <w:t xml:space="preserve"> However, the </w:t>
      </w:r>
      <w:r w:rsidR="00EB6A96">
        <w:rPr>
          <w:rFonts w:ascii="Times New Roman" w:hAnsi="Times New Roman" w:cs="Times New Roman"/>
          <w:color w:val="000000" w:themeColor="text1"/>
        </w:rPr>
        <w:lastRenderedPageBreak/>
        <w:t xml:space="preserve">ICJ </w:t>
      </w:r>
      <w:r w:rsidR="004C3373">
        <w:rPr>
          <w:rFonts w:ascii="Times New Roman" w:hAnsi="Times New Roman" w:cs="Times New Roman"/>
          <w:color w:val="000000" w:themeColor="text1"/>
        </w:rPr>
        <w:t>only possesses the authority to prosecute states</w:t>
      </w:r>
      <w:r w:rsidR="00BC2E1E">
        <w:rPr>
          <w:rFonts w:ascii="Times New Roman" w:hAnsi="Times New Roman" w:cs="Times New Roman"/>
          <w:color w:val="000000" w:themeColor="text1"/>
        </w:rPr>
        <w:t xml:space="preserve">.  </w:t>
      </w:r>
      <w:r w:rsidR="007A5483">
        <w:rPr>
          <w:rFonts w:ascii="Times New Roman" w:hAnsi="Times New Roman" w:cs="Times New Roman"/>
          <w:color w:val="000000" w:themeColor="text1"/>
        </w:rPr>
        <w:t xml:space="preserve">To date, no </w:t>
      </w:r>
      <w:r w:rsidR="00D21FD0">
        <w:rPr>
          <w:rFonts w:ascii="Times New Roman" w:hAnsi="Times New Roman" w:cs="Times New Roman"/>
          <w:color w:val="000000" w:themeColor="text1"/>
        </w:rPr>
        <w:t>individual</w:t>
      </w:r>
      <w:r w:rsidR="007A5483">
        <w:rPr>
          <w:rFonts w:ascii="Times New Roman" w:hAnsi="Times New Roman" w:cs="Times New Roman"/>
          <w:color w:val="000000" w:themeColor="text1"/>
        </w:rPr>
        <w:t xml:space="preserve"> has been prosecute</w:t>
      </w:r>
      <w:r w:rsidR="00EB6A96">
        <w:rPr>
          <w:rFonts w:ascii="Times New Roman" w:hAnsi="Times New Roman" w:cs="Times New Roman"/>
          <w:color w:val="000000" w:themeColor="text1"/>
        </w:rPr>
        <w:t>d for genocide in a permanent</w:t>
      </w:r>
      <w:r w:rsidR="007A5483">
        <w:rPr>
          <w:rFonts w:ascii="Times New Roman" w:hAnsi="Times New Roman" w:cs="Times New Roman"/>
          <w:color w:val="000000" w:themeColor="text1"/>
        </w:rPr>
        <w:t xml:space="preserve"> internation</w:t>
      </w:r>
      <w:r w:rsidR="007B11D1">
        <w:rPr>
          <w:rFonts w:ascii="Times New Roman" w:hAnsi="Times New Roman" w:cs="Times New Roman"/>
          <w:color w:val="000000" w:themeColor="text1"/>
        </w:rPr>
        <w:t xml:space="preserve">al tribunal, only in </w:t>
      </w:r>
      <w:r w:rsidR="00A53A53">
        <w:rPr>
          <w:rFonts w:ascii="Times New Roman" w:hAnsi="Times New Roman" w:cs="Times New Roman"/>
          <w:i/>
          <w:iCs/>
          <w:color w:val="000000" w:themeColor="text1"/>
        </w:rPr>
        <w:t>ad-hoc</w:t>
      </w:r>
      <w:r w:rsidR="00D21FD0">
        <w:rPr>
          <w:rFonts w:ascii="Times New Roman" w:hAnsi="Times New Roman" w:cs="Times New Roman"/>
          <w:color w:val="000000" w:themeColor="text1"/>
        </w:rPr>
        <w:t xml:space="preserve"> </w:t>
      </w:r>
      <w:r w:rsidR="007B11D1">
        <w:rPr>
          <w:rFonts w:ascii="Times New Roman" w:hAnsi="Times New Roman" w:cs="Times New Roman"/>
          <w:color w:val="000000" w:themeColor="text1"/>
        </w:rPr>
        <w:t>tribunal</w:t>
      </w:r>
      <w:r w:rsidR="00C9563D">
        <w:rPr>
          <w:rFonts w:ascii="Times New Roman" w:hAnsi="Times New Roman" w:cs="Times New Roman"/>
          <w:color w:val="000000" w:themeColor="text1"/>
        </w:rPr>
        <w:t>s</w:t>
      </w:r>
      <w:r w:rsidR="007B11D1">
        <w:rPr>
          <w:rFonts w:ascii="Times New Roman" w:hAnsi="Times New Roman" w:cs="Times New Roman"/>
          <w:color w:val="000000" w:themeColor="text1"/>
        </w:rPr>
        <w:t>.</w:t>
      </w:r>
      <w:r w:rsidR="00FE2A10">
        <w:rPr>
          <w:rStyle w:val="FootnoteReference"/>
          <w:rFonts w:ascii="Times New Roman" w:hAnsi="Times New Roman" w:cs="Times New Roman"/>
          <w:color w:val="000000" w:themeColor="text1"/>
        </w:rPr>
        <w:footnoteReference w:id="53"/>
      </w:r>
    </w:p>
    <w:p w14:paraId="218DF104" w14:textId="77265E26" w:rsidR="001C0B41" w:rsidRDefault="002633CF" w:rsidP="006009D2">
      <w:pPr>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The year after the Genocide Convention was passed, </w:t>
      </w:r>
      <w:r w:rsidR="00CA4B7D">
        <w:rPr>
          <w:rFonts w:ascii="Times New Roman" w:hAnsi="Times New Roman" w:cs="Times New Roman"/>
          <w:color w:val="000000" w:themeColor="text1"/>
        </w:rPr>
        <w:t>the international community came together to update the Geneva Conventions</w:t>
      </w:r>
      <w:r w:rsidR="005424C7">
        <w:rPr>
          <w:rStyle w:val="FootnoteReference"/>
          <w:rFonts w:ascii="Times New Roman" w:hAnsi="Times New Roman" w:cs="Times New Roman"/>
          <w:color w:val="000000" w:themeColor="text1"/>
        </w:rPr>
        <w:footnoteReference w:id="54"/>
      </w:r>
      <w:r w:rsidR="00E43731">
        <w:rPr>
          <w:rFonts w:ascii="Times New Roman" w:hAnsi="Times New Roman" w:cs="Times New Roman"/>
          <w:color w:val="000000" w:themeColor="text1"/>
        </w:rPr>
        <w:t xml:space="preserve"> </w:t>
      </w:r>
      <w:r w:rsidR="00954361">
        <w:rPr>
          <w:rFonts w:ascii="Times New Roman" w:hAnsi="Times New Roman" w:cs="Times New Roman"/>
          <w:color w:val="000000" w:themeColor="text1"/>
        </w:rPr>
        <w:t>for the fourth time.</w:t>
      </w:r>
      <w:r w:rsidR="00954361">
        <w:rPr>
          <w:rStyle w:val="FootnoteReference"/>
          <w:rFonts w:ascii="Times New Roman" w:hAnsi="Times New Roman" w:cs="Times New Roman"/>
          <w:color w:val="000000" w:themeColor="text1"/>
        </w:rPr>
        <w:footnoteReference w:id="55"/>
      </w:r>
      <w:r w:rsidR="007B7C68">
        <w:rPr>
          <w:rFonts w:ascii="Times New Roman" w:hAnsi="Times New Roman" w:cs="Times New Roman"/>
          <w:color w:val="000000" w:themeColor="text1"/>
        </w:rPr>
        <w:t xml:space="preserve"> </w:t>
      </w:r>
      <w:r w:rsidR="00954361">
        <w:rPr>
          <w:rFonts w:ascii="Times New Roman" w:hAnsi="Times New Roman" w:cs="Times New Roman"/>
          <w:color w:val="000000" w:themeColor="text1"/>
        </w:rPr>
        <w:t xml:space="preserve"> These conventions </w:t>
      </w:r>
      <w:r w:rsidR="00E43731">
        <w:rPr>
          <w:rFonts w:ascii="Times New Roman" w:hAnsi="Times New Roman" w:cs="Times New Roman"/>
          <w:color w:val="000000" w:themeColor="text1"/>
        </w:rPr>
        <w:t>form the basis of international humanitarian law (</w:t>
      </w:r>
      <w:r w:rsidR="0082104C">
        <w:rPr>
          <w:rFonts w:ascii="Times New Roman" w:hAnsi="Times New Roman" w:cs="Times New Roman"/>
          <w:color w:val="000000" w:themeColor="text1"/>
        </w:rPr>
        <w:t>“</w:t>
      </w:r>
      <w:r w:rsidR="00E43731">
        <w:rPr>
          <w:rFonts w:ascii="Times New Roman" w:hAnsi="Times New Roman" w:cs="Times New Roman"/>
          <w:color w:val="000000" w:themeColor="text1"/>
        </w:rPr>
        <w:t>IHL</w:t>
      </w:r>
      <w:r w:rsidR="0082104C">
        <w:rPr>
          <w:rFonts w:ascii="Times New Roman" w:hAnsi="Times New Roman" w:cs="Times New Roman"/>
          <w:color w:val="000000" w:themeColor="text1"/>
        </w:rPr>
        <w:t>”</w:t>
      </w:r>
      <w:r w:rsidR="00E43731">
        <w:rPr>
          <w:rFonts w:ascii="Times New Roman" w:hAnsi="Times New Roman" w:cs="Times New Roman"/>
          <w:color w:val="000000" w:themeColor="text1"/>
        </w:rPr>
        <w:t>)</w:t>
      </w:r>
      <w:r w:rsidR="00954361">
        <w:rPr>
          <w:rFonts w:ascii="Times New Roman" w:hAnsi="Times New Roman" w:cs="Times New Roman"/>
          <w:color w:val="000000" w:themeColor="text1"/>
        </w:rPr>
        <w:t>.</w:t>
      </w:r>
      <w:r w:rsidR="00E43731">
        <w:rPr>
          <w:rStyle w:val="FootnoteReference"/>
          <w:rFonts w:ascii="Times New Roman" w:hAnsi="Times New Roman" w:cs="Times New Roman"/>
          <w:color w:val="000000" w:themeColor="text1"/>
        </w:rPr>
        <w:footnoteReference w:id="56"/>
      </w:r>
      <w:r w:rsidR="00954361">
        <w:rPr>
          <w:rFonts w:ascii="Times New Roman" w:hAnsi="Times New Roman" w:cs="Times New Roman"/>
          <w:color w:val="000000" w:themeColor="text1"/>
        </w:rPr>
        <w:t xml:space="preserve">  </w:t>
      </w:r>
      <w:r w:rsidR="00AA4EDF">
        <w:rPr>
          <w:rFonts w:ascii="Times New Roman" w:hAnsi="Times New Roman" w:cs="Times New Roman"/>
          <w:color w:val="000000" w:themeColor="text1"/>
        </w:rPr>
        <w:t xml:space="preserve">The Geneva Conventions view war as an inevitability, and </w:t>
      </w:r>
      <w:r w:rsidR="005E674A">
        <w:rPr>
          <w:rFonts w:ascii="Times New Roman" w:hAnsi="Times New Roman" w:cs="Times New Roman"/>
          <w:color w:val="000000" w:themeColor="text1"/>
        </w:rPr>
        <w:t xml:space="preserve">convey the idea </w:t>
      </w:r>
      <w:r w:rsidR="00AA4EDF">
        <w:rPr>
          <w:rFonts w:ascii="Times New Roman" w:hAnsi="Times New Roman" w:cs="Times New Roman"/>
          <w:color w:val="000000" w:themeColor="text1"/>
        </w:rPr>
        <w:t>that if war is going to be waged, it should be waged in such a manner as to preserve as many lives as possible.</w:t>
      </w:r>
      <w:r w:rsidR="00244ACD">
        <w:rPr>
          <w:rStyle w:val="FootnoteReference"/>
          <w:rFonts w:ascii="Times New Roman" w:hAnsi="Times New Roman" w:cs="Times New Roman"/>
          <w:color w:val="000000" w:themeColor="text1"/>
        </w:rPr>
        <w:footnoteReference w:id="57"/>
      </w:r>
      <w:r w:rsidR="00412E04">
        <w:rPr>
          <w:rFonts w:ascii="Times New Roman" w:hAnsi="Times New Roman" w:cs="Times New Roman"/>
          <w:color w:val="000000" w:themeColor="text1"/>
        </w:rPr>
        <w:t xml:space="preserve"> </w:t>
      </w:r>
      <w:r w:rsidR="007B7C68">
        <w:rPr>
          <w:rFonts w:ascii="Times New Roman" w:hAnsi="Times New Roman" w:cs="Times New Roman"/>
          <w:color w:val="000000" w:themeColor="text1"/>
        </w:rPr>
        <w:t xml:space="preserve"> </w:t>
      </w:r>
      <w:r w:rsidR="00136D2B">
        <w:rPr>
          <w:rFonts w:ascii="Times New Roman" w:hAnsi="Times New Roman" w:cs="Times New Roman"/>
          <w:color w:val="000000" w:themeColor="text1"/>
        </w:rPr>
        <w:t>T</w:t>
      </w:r>
      <w:r w:rsidR="002D55FE">
        <w:rPr>
          <w:rFonts w:ascii="Times New Roman" w:hAnsi="Times New Roman" w:cs="Times New Roman"/>
          <w:color w:val="000000" w:themeColor="text1"/>
        </w:rPr>
        <w:t>he Geneva Convention</w:t>
      </w:r>
      <w:r w:rsidR="002E7469">
        <w:rPr>
          <w:rFonts w:ascii="Times New Roman" w:hAnsi="Times New Roman" w:cs="Times New Roman"/>
          <w:color w:val="000000" w:themeColor="text1"/>
        </w:rPr>
        <w:t>s</w:t>
      </w:r>
      <w:r w:rsidR="00877BF0">
        <w:rPr>
          <w:rFonts w:ascii="Times New Roman" w:hAnsi="Times New Roman" w:cs="Times New Roman"/>
          <w:color w:val="000000" w:themeColor="text1"/>
        </w:rPr>
        <w:t xml:space="preserve"> are considered</w:t>
      </w:r>
      <w:r w:rsidR="002056B5">
        <w:rPr>
          <w:rFonts w:ascii="Times New Roman" w:hAnsi="Times New Roman" w:cs="Times New Roman"/>
          <w:color w:val="000000" w:themeColor="text1"/>
        </w:rPr>
        <w:t xml:space="preserve"> an essential part of atrocity prevention, </w:t>
      </w:r>
      <w:r w:rsidR="002E7469">
        <w:rPr>
          <w:rFonts w:ascii="Times New Roman" w:hAnsi="Times New Roman" w:cs="Times New Roman"/>
          <w:color w:val="000000" w:themeColor="text1"/>
        </w:rPr>
        <w:t>and outline a wide variety of actions th</w:t>
      </w:r>
      <w:r w:rsidR="00136D2B">
        <w:rPr>
          <w:rFonts w:ascii="Times New Roman" w:hAnsi="Times New Roman" w:cs="Times New Roman"/>
          <w:color w:val="000000" w:themeColor="text1"/>
        </w:rPr>
        <w:t>at can be labeled as war crimes</w:t>
      </w:r>
      <w:r w:rsidR="00BC2E1E">
        <w:rPr>
          <w:rFonts w:ascii="Times New Roman" w:hAnsi="Times New Roman" w:cs="Times New Roman"/>
          <w:color w:val="000000" w:themeColor="text1"/>
        </w:rPr>
        <w:t xml:space="preserve">.  </w:t>
      </w:r>
      <w:r w:rsidR="00136D2B">
        <w:rPr>
          <w:rFonts w:ascii="Times New Roman" w:hAnsi="Times New Roman" w:cs="Times New Roman"/>
          <w:color w:val="000000" w:themeColor="text1"/>
        </w:rPr>
        <w:t>However,</w:t>
      </w:r>
      <w:r w:rsidR="002E7469">
        <w:rPr>
          <w:rFonts w:ascii="Times New Roman" w:hAnsi="Times New Roman" w:cs="Times New Roman"/>
          <w:color w:val="000000" w:themeColor="text1"/>
        </w:rPr>
        <w:t xml:space="preserve"> they do not establish a formal mechanism for prosecuting war criminals, nor do they </w:t>
      </w:r>
      <w:r w:rsidR="00F57009">
        <w:rPr>
          <w:rFonts w:ascii="Times New Roman" w:hAnsi="Times New Roman" w:cs="Times New Roman"/>
          <w:color w:val="000000" w:themeColor="text1"/>
        </w:rPr>
        <w:t>propose a system</w:t>
      </w:r>
      <w:r w:rsidR="00C57865">
        <w:rPr>
          <w:rFonts w:ascii="Times New Roman" w:hAnsi="Times New Roman" w:cs="Times New Roman"/>
          <w:color w:val="000000" w:themeColor="text1"/>
        </w:rPr>
        <w:t xml:space="preserve"> for </w:t>
      </w:r>
      <w:r w:rsidR="00370F95">
        <w:rPr>
          <w:rFonts w:ascii="Times New Roman" w:hAnsi="Times New Roman" w:cs="Times New Roman"/>
          <w:color w:val="000000" w:themeColor="text1"/>
        </w:rPr>
        <w:t>preventing the war crimes from occurring.</w:t>
      </w:r>
      <w:r w:rsidR="00244ACD">
        <w:rPr>
          <w:rStyle w:val="FootnoteReference"/>
          <w:rFonts w:ascii="Times New Roman" w:hAnsi="Times New Roman" w:cs="Times New Roman"/>
          <w:color w:val="000000" w:themeColor="text1"/>
        </w:rPr>
        <w:footnoteReference w:id="58"/>
      </w:r>
      <w:r w:rsidR="007B7C68">
        <w:rPr>
          <w:rFonts w:ascii="Times New Roman" w:hAnsi="Times New Roman" w:cs="Times New Roman"/>
          <w:color w:val="000000" w:themeColor="text1"/>
        </w:rPr>
        <w:t xml:space="preserve"> </w:t>
      </w:r>
      <w:r w:rsidR="00370F95">
        <w:rPr>
          <w:rFonts w:ascii="Times New Roman" w:hAnsi="Times New Roman" w:cs="Times New Roman"/>
          <w:color w:val="000000" w:themeColor="text1"/>
        </w:rPr>
        <w:t xml:space="preserve"> </w:t>
      </w:r>
      <w:r w:rsidR="00C9563D">
        <w:rPr>
          <w:rFonts w:ascii="Times New Roman" w:hAnsi="Times New Roman" w:cs="Times New Roman"/>
          <w:color w:val="000000" w:themeColor="text1"/>
        </w:rPr>
        <w:t>There is no tribunal establi</w:t>
      </w:r>
      <w:r w:rsidR="004C3373">
        <w:rPr>
          <w:rFonts w:ascii="Times New Roman" w:hAnsi="Times New Roman" w:cs="Times New Roman"/>
          <w:color w:val="000000" w:themeColor="text1"/>
        </w:rPr>
        <w:t>shed by the Geneva Conventions—</w:t>
      </w:r>
      <w:r w:rsidR="00C9563D">
        <w:rPr>
          <w:rFonts w:ascii="Times New Roman" w:hAnsi="Times New Roman" w:cs="Times New Roman"/>
          <w:color w:val="000000" w:themeColor="text1"/>
        </w:rPr>
        <w:t>the expectation is that violators will be prosecuted in domestic tribunals, and this series of treaties relies upon reciprocity as its primary motivation for compliance</w:t>
      </w:r>
      <w:r w:rsidR="00BC2E1E">
        <w:rPr>
          <w:rFonts w:ascii="Times New Roman" w:hAnsi="Times New Roman" w:cs="Times New Roman"/>
          <w:color w:val="000000" w:themeColor="text1"/>
        </w:rPr>
        <w:t xml:space="preserve">.  </w:t>
      </w:r>
    </w:p>
    <w:p w14:paraId="5743CEC7" w14:textId="6BB46871" w:rsidR="002373AB" w:rsidRDefault="00BD7C36" w:rsidP="007D30EA">
      <w:pPr>
        <w:ind w:firstLine="720"/>
        <w:jc w:val="both"/>
        <w:rPr>
          <w:rFonts w:ascii="Times New Roman" w:hAnsi="Times New Roman" w:cs="Times New Roman"/>
          <w:color w:val="000000" w:themeColor="text1"/>
        </w:rPr>
      </w:pPr>
      <w:r w:rsidRPr="00BD7C36">
        <w:rPr>
          <w:rFonts w:ascii="Times New Roman" w:hAnsi="Times New Roman" w:cs="Times New Roman"/>
          <w:color w:val="000000" w:themeColor="text1"/>
        </w:rPr>
        <w:t>In 1949, a new addition was</w:t>
      </w:r>
      <w:r w:rsidR="004C3373">
        <w:rPr>
          <w:rFonts w:ascii="Times New Roman" w:hAnsi="Times New Roman" w:cs="Times New Roman"/>
          <w:color w:val="000000" w:themeColor="text1"/>
        </w:rPr>
        <w:t xml:space="preserve"> made to the four C</w:t>
      </w:r>
      <w:r w:rsidR="00412E04">
        <w:rPr>
          <w:rFonts w:ascii="Times New Roman" w:hAnsi="Times New Roman" w:cs="Times New Roman"/>
          <w:color w:val="000000" w:themeColor="text1"/>
        </w:rPr>
        <w:t xml:space="preserve">onventions.  </w:t>
      </w:r>
      <w:r w:rsidRPr="00BD7C36">
        <w:rPr>
          <w:rFonts w:ascii="Times New Roman" w:hAnsi="Times New Roman" w:cs="Times New Roman"/>
          <w:color w:val="000000" w:themeColor="text1"/>
        </w:rPr>
        <w:t>Because it is one</w:t>
      </w:r>
      <w:r w:rsidR="00476C20">
        <w:rPr>
          <w:rFonts w:ascii="Times New Roman" w:hAnsi="Times New Roman" w:cs="Times New Roman"/>
          <w:color w:val="000000" w:themeColor="text1"/>
        </w:rPr>
        <w:t xml:space="preserve"> of the</w:t>
      </w:r>
      <w:r w:rsidRPr="00BD7C36">
        <w:rPr>
          <w:rFonts w:ascii="Times New Roman" w:hAnsi="Times New Roman" w:cs="Times New Roman"/>
          <w:color w:val="000000" w:themeColor="text1"/>
        </w:rPr>
        <w:t xml:space="preserve"> feature</w:t>
      </w:r>
      <w:r w:rsidR="00476C20">
        <w:rPr>
          <w:rFonts w:ascii="Times New Roman" w:hAnsi="Times New Roman" w:cs="Times New Roman"/>
          <w:color w:val="000000" w:themeColor="text1"/>
        </w:rPr>
        <w:t>s</w:t>
      </w:r>
      <w:r w:rsidR="004C3373">
        <w:rPr>
          <w:rFonts w:ascii="Times New Roman" w:hAnsi="Times New Roman" w:cs="Times New Roman"/>
          <w:color w:val="000000" w:themeColor="text1"/>
        </w:rPr>
        <w:t xml:space="preserve"> that each of the C</w:t>
      </w:r>
      <w:r w:rsidRPr="00BD7C36">
        <w:rPr>
          <w:rFonts w:ascii="Times New Roman" w:hAnsi="Times New Roman" w:cs="Times New Roman"/>
          <w:color w:val="000000" w:themeColor="text1"/>
        </w:rPr>
        <w:t xml:space="preserve">onventions </w:t>
      </w:r>
      <w:r w:rsidR="007B2ECC" w:rsidRPr="00BD7C36">
        <w:rPr>
          <w:rFonts w:ascii="Times New Roman" w:hAnsi="Times New Roman" w:cs="Times New Roman"/>
          <w:color w:val="000000" w:themeColor="text1"/>
        </w:rPr>
        <w:t>ha</w:t>
      </w:r>
      <w:r w:rsidR="007B2ECC">
        <w:rPr>
          <w:rFonts w:ascii="Times New Roman" w:hAnsi="Times New Roman" w:cs="Times New Roman"/>
          <w:color w:val="000000" w:themeColor="text1"/>
        </w:rPr>
        <w:t>s</w:t>
      </w:r>
      <w:r w:rsidR="007B2ECC" w:rsidRPr="00BD7C36">
        <w:rPr>
          <w:rFonts w:ascii="Times New Roman" w:hAnsi="Times New Roman" w:cs="Times New Roman"/>
          <w:color w:val="000000" w:themeColor="text1"/>
        </w:rPr>
        <w:t xml:space="preserve"> </w:t>
      </w:r>
      <w:r w:rsidRPr="00BD7C36">
        <w:rPr>
          <w:rFonts w:ascii="Times New Roman" w:hAnsi="Times New Roman" w:cs="Times New Roman"/>
          <w:color w:val="000000" w:themeColor="text1"/>
        </w:rPr>
        <w:t xml:space="preserve">in common, it has become known as Common Article 3.  </w:t>
      </w:r>
      <w:r w:rsidRPr="00BD7C36">
        <w:rPr>
          <w:rFonts w:ascii="Times New Roman" w:hAnsi="Times New Roman" w:cs="Times New Roman"/>
          <w:color w:val="000000" w:themeColor="text1"/>
        </w:rPr>
        <w:lastRenderedPageBreak/>
        <w:t>Previously, the conventions set forth rules to be applied in times of international violent conflict.</w:t>
      </w:r>
      <w:r w:rsidRPr="00BD7C36">
        <w:rPr>
          <w:rStyle w:val="FootnoteReference"/>
          <w:rFonts w:ascii="Times New Roman" w:hAnsi="Times New Roman" w:cs="Times New Roman"/>
          <w:color w:val="000000" w:themeColor="text1"/>
        </w:rPr>
        <w:footnoteReference w:id="59"/>
      </w:r>
      <w:r w:rsidR="00412E04">
        <w:rPr>
          <w:rFonts w:ascii="Times New Roman" w:hAnsi="Times New Roman" w:cs="Times New Roman"/>
          <w:color w:val="000000" w:themeColor="text1"/>
        </w:rPr>
        <w:t xml:space="preserve">  </w:t>
      </w:r>
      <w:r w:rsidRPr="00BD7C36">
        <w:rPr>
          <w:rFonts w:ascii="Times New Roman" w:hAnsi="Times New Roman" w:cs="Times New Roman"/>
          <w:color w:val="000000" w:themeColor="text1"/>
        </w:rPr>
        <w:t>However, the international community was aware that atrocities do not always extend beyond borders, so Common Article 3 was written to protect humanity in times of non</w:t>
      </w:r>
      <w:r w:rsidR="00292531">
        <w:rPr>
          <w:rFonts w:ascii="Times New Roman" w:hAnsi="Times New Roman" w:cs="Times New Roman"/>
          <w:color w:val="000000" w:themeColor="text1"/>
        </w:rPr>
        <w:t>-</w:t>
      </w:r>
      <w:r w:rsidRPr="00BD7C36">
        <w:rPr>
          <w:rFonts w:ascii="Times New Roman" w:hAnsi="Times New Roman" w:cs="Times New Roman"/>
          <w:color w:val="000000" w:themeColor="text1"/>
        </w:rPr>
        <w:t>international violent conflict.</w:t>
      </w:r>
      <w:r w:rsidRPr="00BD7C36">
        <w:rPr>
          <w:rStyle w:val="FootnoteReference"/>
          <w:rFonts w:ascii="Times New Roman" w:hAnsi="Times New Roman" w:cs="Times New Roman"/>
          <w:color w:val="000000" w:themeColor="text1"/>
        </w:rPr>
        <w:footnoteReference w:id="60"/>
      </w:r>
    </w:p>
    <w:p w14:paraId="15D193FD" w14:textId="091DC32E" w:rsidR="002373AB" w:rsidRPr="007D30EA" w:rsidRDefault="00BD7C36" w:rsidP="007D30EA">
      <w:pPr>
        <w:ind w:left="720" w:right="720"/>
        <w:jc w:val="both"/>
        <w:rPr>
          <w:rFonts w:ascii="Times New Roman" w:eastAsia="Times New Roman" w:hAnsi="Times New Roman" w:cs="Times New Roman"/>
          <w:color w:val="000000" w:themeColor="text1"/>
          <w:shd w:val="clear" w:color="auto" w:fill="FFFFFF"/>
        </w:rPr>
      </w:pPr>
      <w:r w:rsidRPr="002E2C96">
        <w:rPr>
          <w:rFonts w:ascii="Times New Roman" w:eastAsia="Times New Roman" w:hAnsi="Times New Roman" w:cs="Times New Roman"/>
          <w:color w:val="000000" w:themeColor="text1"/>
          <w:shd w:val="clear" w:color="auto" w:fill="FFFFFF"/>
        </w:rPr>
        <w:t xml:space="preserve">Common Article </w:t>
      </w:r>
      <w:r w:rsidR="00ED7AF0" w:rsidRPr="002E2C96">
        <w:rPr>
          <w:rFonts w:ascii="Times New Roman" w:eastAsia="Times New Roman" w:hAnsi="Times New Roman" w:cs="Times New Roman"/>
          <w:color w:val="000000" w:themeColor="text1"/>
          <w:shd w:val="clear" w:color="auto" w:fill="FFFFFF"/>
        </w:rPr>
        <w:t>3</w:t>
      </w:r>
      <w:r w:rsidRPr="002E2C96">
        <w:rPr>
          <w:rFonts w:ascii="Times New Roman" w:eastAsia="Times New Roman" w:hAnsi="Times New Roman" w:cs="Times New Roman"/>
          <w:color w:val="000000" w:themeColor="text1"/>
          <w:shd w:val="clear" w:color="auto" w:fill="FFFFFF"/>
        </w:rPr>
        <w:t xml:space="preserve"> establishes fundamental rules from which no derogation is permitted.</w:t>
      </w:r>
      <w:r w:rsidR="00412E04">
        <w:rPr>
          <w:rFonts w:ascii="Times New Roman" w:eastAsia="Times New Roman" w:hAnsi="Times New Roman" w:cs="Times New Roman"/>
          <w:color w:val="000000" w:themeColor="text1"/>
          <w:shd w:val="clear" w:color="auto" w:fill="FFFFFF"/>
        </w:rPr>
        <w:t xml:space="preserve">  </w:t>
      </w:r>
      <w:r w:rsidRPr="002E2C96">
        <w:rPr>
          <w:rFonts w:ascii="Times New Roman" w:eastAsia="Times New Roman" w:hAnsi="Times New Roman" w:cs="Times New Roman"/>
          <w:color w:val="000000" w:themeColor="text1"/>
          <w:shd w:val="clear" w:color="auto" w:fill="FFFFFF"/>
        </w:rPr>
        <w:t>It is like a mini</w:t>
      </w:r>
      <w:r w:rsidR="00412E04">
        <w:rPr>
          <w:rFonts w:ascii="Times New Roman" w:eastAsia="Times New Roman" w:hAnsi="Times New Roman" w:cs="Times New Roman"/>
          <w:color w:val="000000" w:themeColor="text1"/>
          <w:shd w:val="clear" w:color="auto" w:fill="FFFFFF"/>
        </w:rPr>
        <w:t>-</w:t>
      </w:r>
      <w:r w:rsidRPr="002E2C96">
        <w:rPr>
          <w:rFonts w:ascii="Times New Roman" w:eastAsia="Times New Roman" w:hAnsi="Times New Roman" w:cs="Times New Roman"/>
          <w:color w:val="000000" w:themeColor="text1"/>
          <w:shd w:val="clear" w:color="auto" w:fill="FFFFFF"/>
        </w:rPr>
        <w:t>Convention within the Conventions</w:t>
      </w:r>
      <w:r w:rsidR="00E43731" w:rsidRPr="002E2C96">
        <w:rPr>
          <w:rFonts w:ascii="Times New Roman" w:eastAsia="Times New Roman" w:hAnsi="Times New Roman" w:cs="Times New Roman"/>
          <w:color w:val="000000" w:themeColor="text1"/>
          <w:shd w:val="clear" w:color="auto" w:fill="FFFFFF"/>
        </w:rPr>
        <w:t>,</w:t>
      </w:r>
      <w:r w:rsidRPr="002E2C96">
        <w:rPr>
          <w:rFonts w:ascii="Times New Roman" w:eastAsia="Times New Roman" w:hAnsi="Times New Roman" w:cs="Times New Roman"/>
          <w:color w:val="000000" w:themeColor="text1"/>
          <w:shd w:val="clear" w:color="auto" w:fill="FFFFFF"/>
        </w:rPr>
        <w:t xml:space="preserve"> as it contains the essential rules of the Geneva Conventions in a condensed format and makes them applicable to conflicts not of an international character.</w:t>
      </w:r>
      <w:r w:rsidRPr="002E2C96">
        <w:rPr>
          <w:rStyle w:val="FootnoteReference"/>
          <w:rFonts w:ascii="Times New Roman" w:eastAsia="Times New Roman" w:hAnsi="Times New Roman" w:cs="Times New Roman"/>
          <w:color w:val="000000" w:themeColor="text1"/>
          <w:shd w:val="clear" w:color="auto" w:fill="FFFFFF"/>
        </w:rPr>
        <w:footnoteReference w:id="61"/>
      </w:r>
    </w:p>
    <w:p w14:paraId="54E1456A" w14:textId="5EA3CD75" w:rsidR="000426DD" w:rsidRDefault="00ED7AF0" w:rsidP="006009D2">
      <w:pPr>
        <w:ind w:firstLine="720"/>
        <w:jc w:val="both"/>
        <w:rPr>
          <w:rFonts w:ascii="Times New Roman" w:eastAsia="Times New Roman" w:hAnsi="Times New Roman" w:cs="Times New Roman"/>
          <w:color w:val="000000"/>
          <w:shd w:val="clear" w:color="auto" w:fill="FFFFFF"/>
        </w:rPr>
      </w:pPr>
      <w:r w:rsidRPr="00925683">
        <w:rPr>
          <w:rFonts w:ascii="Times New Roman" w:hAnsi="Times New Roman" w:cs="Times New Roman"/>
          <w:color w:val="000000" w:themeColor="text1"/>
        </w:rPr>
        <w:t>The addition of Common Article 3 represents the</w:t>
      </w:r>
      <w:r w:rsidR="000E43A0">
        <w:rPr>
          <w:rFonts w:ascii="Times New Roman" w:hAnsi="Times New Roman" w:cs="Times New Roman"/>
          <w:color w:val="000000" w:themeColor="text1"/>
        </w:rPr>
        <w:t xml:space="preserve"> formal</w:t>
      </w:r>
      <w:r w:rsidRPr="00925683">
        <w:rPr>
          <w:rFonts w:ascii="Times New Roman" w:hAnsi="Times New Roman" w:cs="Times New Roman"/>
          <w:color w:val="000000" w:themeColor="text1"/>
        </w:rPr>
        <w:t xml:space="preserve"> establishment of what is known in human rights law as </w:t>
      </w:r>
      <w:r w:rsidRPr="00925683">
        <w:rPr>
          <w:rFonts w:ascii="Times New Roman" w:hAnsi="Times New Roman" w:cs="Times New Roman"/>
          <w:i/>
          <w:color w:val="000000" w:themeColor="text1"/>
        </w:rPr>
        <w:t xml:space="preserve">jus </w:t>
      </w:r>
      <w:proofErr w:type="spellStart"/>
      <w:r w:rsidRPr="00925683">
        <w:rPr>
          <w:rFonts w:ascii="Times New Roman" w:hAnsi="Times New Roman" w:cs="Times New Roman"/>
          <w:i/>
          <w:color w:val="000000" w:themeColor="text1"/>
        </w:rPr>
        <w:t>cogens</w:t>
      </w:r>
      <w:proofErr w:type="spellEnd"/>
      <w:r w:rsidRPr="00925683">
        <w:rPr>
          <w:rFonts w:ascii="Times New Roman" w:hAnsi="Times New Roman" w:cs="Times New Roman"/>
          <w:color w:val="000000" w:themeColor="text1"/>
        </w:rPr>
        <w:t xml:space="preserve"> norms.</w:t>
      </w:r>
      <w:r w:rsidR="00320A0B" w:rsidRPr="00925683">
        <w:rPr>
          <w:rStyle w:val="FootnoteReference"/>
          <w:rFonts w:ascii="Times New Roman" w:hAnsi="Times New Roman" w:cs="Times New Roman"/>
          <w:color w:val="000000" w:themeColor="text1"/>
        </w:rPr>
        <w:footnoteReference w:id="62"/>
      </w:r>
      <w:r w:rsidR="00412E04">
        <w:rPr>
          <w:rFonts w:ascii="Times New Roman" w:hAnsi="Times New Roman" w:cs="Times New Roman"/>
          <w:color w:val="000000" w:themeColor="text1"/>
        </w:rPr>
        <w:t xml:space="preserve">  </w:t>
      </w:r>
      <w:r w:rsidRPr="00925683">
        <w:rPr>
          <w:rFonts w:ascii="Times New Roman" w:hAnsi="Times New Roman" w:cs="Times New Roman"/>
          <w:i/>
          <w:color w:val="000000" w:themeColor="text1"/>
        </w:rPr>
        <w:t xml:space="preserve">Jus </w:t>
      </w:r>
      <w:proofErr w:type="spellStart"/>
      <w:r w:rsidRPr="00925683">
        <w:rPr>
          <w:rFonts w:ascii="Times New Roman" w:hAnsi="Times New Roman" w:cs="Times New Roman"/>
          <w:i/>
          <w:color w:val="000000" w:themeColor="text1"/>
        </w:rPr>
        <w:t>cogens</w:t>
      </w:r>
      <w:proofErr w:type="spellEnd"/>
      <w:r w:rsidRPr="00925683">
        <w:rPr>
          <w:rFonts w:ascii="Times New Roman" w:hAnsi="Times New Roman" w:cs="Times New Roman"/>
          <w:color w:val="000000" w:themeColor="text1"/>
        </w:rPr>
        <w:t xml:space="preserve"> means </w:t>
      </w:r>
      <w:r w:rsidRPr="00925683">
        <w:rPr>
          <w:rFonts w:ascii="Times New Roman" w:hAnsi="Times New Roman" w:cs="Times New Roman"/>
        </w:rPr>
        <w:t>“compelling law” in Latin,</w:t>
      </w:r>
      <w:r w:rsidRPr="00925683">
        <w:rPr>
          <w:rStyle w:val="FootnoteReference"/>
          <w:rFonts w:ascii="Times New Roman" w:hAnsi="Times New Roman" w:cs="Times New Roman"/>
        </w:rPr>
        <w:footnoteReference w:id="63"/>
      </w:r>
      <w:r w:rsidR="00BE15DF">
        <w:rPr>
          <w:rFonts w:ascii="Times New Roman" w:hAnsi="Times New Roman" w:cs="Times New Roman"/>
        </w:rPr>
        <w:t xml:space="preserve"> and the name is apt—</w:t>
      </w:r>
      <w:r w:rsidRPr="00925683">
        <w:rPr>
          <w:rFonts w:ascii="Times New Roman" w:hAnsi="Times New Roman" w:cs="Times New Roman"/>
        </w:rPr>
        <w:t xml:space="preserve">the principles that comprise </w:t>
      </w:r>
      <w:r w:rsidRPr="00925683">
        <w:rPr>
          <w:rFonts w:ascii="Times New Roman" w:hAnsi="Times New Roman" w:cs="Times New Roman"/>
          <w:i/>
        </w:rPr>
        <w:t xml:space="preserve">jus </w:t>
      </w:r>
      <w:proofErr w:type="spellStart"/>
      <w:r w:rsidRPr="00925683">
        <w:rPr>
          <w:rFonts w:ascii="Times New Roman" w:hAnsi="Times New Roman" w:cs="Times New Roman"/>
          <w:i/>
        </w:rPr>
        <w:t>cogens</w:t>
      </w:r>
      <w:proofErr w:type="spellEnd"/>
      <w:r w:rsidRPr="00925683">
        <w:rPr>
          <w:rFonts w:ascii="Times New Roman" w:hAnsi="Times New Roman" w:cs="Times New Roman"/>
        </w:rPr>
        <w:t xml:space="preserve"> are preemptory and non</w:t>
      </w:r>
      <w:r w:rsidR="007B4EC9">
        <w:rPr>
          <w:rFonts w:ascii="Times New Roman" w:hAnsi="Times New Roman" w:cs="Times New Roman"/>
        </w:rPr>
        <w:t>-</w:t>
      </w:r>
      <w:r w:rsidRPr="00925683">
        <w:rPr>
          <w:rFonts w:ascii="Times New Roman" w:hAnsi="Times New Roman" w:cs="Times New Roman"/>
        </w:rPr>
        <w:t>derogable.</w:t>
      </w:r>
      <w:r w:rsidR="00320A0B" w:rsidRPr="00925683">
        <w:rPr>
          <w:rStyle w:val="FootnoteReference"/>
          <w:rFonts w:ascii="Times New Roman" w:hAnsi="Times New Roman" w:cs="Times New Roman"/>
        </w:rPr>
        <w:footnoteReference w:id="64"/>
      </w:r>
      <w:r w:rsidR="00025238">
        <w:rPr>
          <w:rFonts w:ascii="Times New Roman" w:hAnsi="Times New Roman" w:cs="Times New Roman"/>
        </w:rPr>
        <w:t xml:space="preserve">  </w:t>
      </w:r>
      <w:r w:rsidRPr="00925683">
        <w:rPr>
          <w:rFonts w:ascii="Times New Roman" w:hAnsi="Times New Roman" w:cs="Times New Roman"/>
        </w:rPr>
        <w:t xml:space="preserve">States are compelled to adhere to these norms </w:t>
      </w:r>
      <w:r w:rsidR="00320A0B" w:rsidRPr="00925683">
        <w:rPr>
          <w:rFonts w:ascii="Times New Roman" w:hAnsi="Times New Roman" w:cs="Times New Roman"/>
        </w:rPr>
        <w:t>un</w:t>
      </w:r>
      <w:r w:rsidR="00025238">
        <w:rPr>
          <w:rFonts w:ascii="Times New Roman" w:hAnsi="Times New Roman" w:cs="Times New Roman"/>
        </w:rPr>
        <w:t xml:space="preserve">der any and all circumstances.  </w:t>
      </w:r>
      <w:r w:rsidR="00320A0B" w:rsidRPr="00925683">
        <w:rPr>
          <w:rFonts w:ascii="Times New Roman" w:hAnsi="Times New Roman" w:cs="Times New Roman"/>
        </w:rPr>
        <w:t xml:space="preserve">In addition to the war crimes delineated in Common Article 3, prohibitions on genocide, torture, and slavery have all come to be considered </w:t>
      </w:r>
      <w:r w:rsidR="00320A0B" w:rsidRPr="00925683">
        <w:rPr>
          <w:rFonts w:ascii="Times New Roman" w:hAnsi="Times New Roman" w:cs="Times New Roman"/>
          <w:i/>
        </w:rPr>
        <w:t xml:space="preserve">jus </w:t>
      </w:r>
      <w:proofErr w:type="spellStart"/>
      <w:r w:rsidR="00320A0B" w:rsidRPr="00925683">
        <w:rPr>
          <w:rFonts w:ascii="Times New Roman" w:hAnsi="Times New Roman" w:cs="Times New Roman"/>
          <w:i/>
        </w:rPr>
        <w:t>cogens</w:t>
      </w:r>
      <w:proofErr w:type="spellEnd"/>
      <w:r w:rsidR="00025238">
        <w:rPr>
          <w:rFonts w:ascii="Times New Roman" w:hAnsi="Times New Roman" w:cs="Times New Roman"/>
        </w:rPr>
        <w:t xml:space="preserve"> as well.  </w:t>
      </w:r>
      <w:r w:rsidR="00492F72" w:rsidRPr="00925683">
        <w:rPr>
          <w:rFonts w:ascii="Times New Roman" w:hAnsi="Times New Roman" w:cs="Times New Roman"/>
        </w:rPr>
        <w:t xml:space="preserve">There </w:t>
      </w:r>
      <w:r w:rsidR="00F637BC" w:rsidRPr="00925683">
        <w:rPr>
          <w:rFonts w:ascii="Times New Roman" w:hAnsi="Times New Roman" w:cs="Times New Roman"/>
        </w:rPr>
        <w:t xml:space="preserve">is a body of substantive law to support the idea that these acts are all </w:t>
      </w:r>
      <w:r w:rsidR="00F637BC" w:rsidRPr="00925683">
        <w:rPr>
          <w:rFonts w:ascii="Times New Roman" w:hAnsi="Times New Roman" w:cs="Times New Roman"/>
          <w:i/>
        </w:rPr>
        <w:t xml:space="preserve">jus </w:t>
      </w:r>
      <w:proofErr w:type="spellStart"/>
      <w:r w:rsidR="00F637BC" w:rsidRPr="00925683">
        <w:rPr>
          <w:rFonts w:ascii="Times New Roman" w:hAnsi="Times New Roman" w:cs="Times New Roman"/>
          <w:i/>
        </w:rPr>
        <w:t>cogens</w:t>
      </w:r>
      <w:proofErr w:type="spellEnd"/>
      <w:r w:rsidR="009F5EAA" w:rsidRPr="00925683">
        <w:rPr>
          <w:rFonts w:ascii="Times New Roman" w:hAnsi="Times New Roman" w:cs="Times New Roman"/>
        </w:rPr>
        <w:t>, including the aforementioned Genocide Convention, and the United Nations Convention Against Torture and Other Cruel, Inhumane or Degrading Treatment (</w:t>
      </w:r>
      <w:r w:rsidR="00C55849">
        <w:rPr>
          <w:rFonts w:ascii="Times New Roman" w:hAnsi="Times New Roman" w:cs="Times New Roman"/>
        </w:rPr>
        <w:t>“</w:t>
      </w:r>
      <w:r w:rsidR="009F5EAA" w:rsidRPr="00925683">
        <w:rPr>
          <w:rFonts w:ascii="Times New Roman" w:hAnsi="Times New Roman" w:cs="Times New Roman"/>
        </w:rPr>
        <w:t>CAT</w:t>
      </w:r>
      <w:r w:rsidR="00D641C1">
        <w:rPr>
          <w:rFonts w:ascii="Times New Roman" w:hAnsi="Times New Roman" w:cs="Times New Roman"/>
        </w:rPr>
        <w:t>”</w:t>
      </w:r>
      <w:r w:rsidR="00025238">
        <w:rPr>
          <w:rFonts w:ascii="Times New Roman" w:hAnsi="Times New Roman" w:cs="Times New Roman"/>
        </w:rPr>
        <w:t xml:space="preserve">). </w:t>
      </w:r>
      <w:r w:rsidR="00A762C8">
        <w:rPr>
          <w:rFonts w:ascii="Times New Roman" w:hAnsi="Times New Roman" w:cs="Times New Roman"/>
        </w:rPr>
        <w:t xml:space="preserve"> </w:t>
      </w:r>
      <w:r w:rsidR="009F5EAA" w:rsidRPr="00925683">
        <w:rPr>
          <w:rFonts w:ascii="Times New Roman" w:hAnsi="Times New Roman" w:cs="Times New Roman"/>
        </w:rPr>
        <w:t>CAT</w:t>
      </w:r>
      <w:r w:rsidR="00A762C8">
        <w:rPr>
          <w:rFonts w:ascii="Times New Roman" w:hAnsi="Times New Roman" w:cs="Times New Roman"/>
        </w:rPr>
        <w:t xml:space="preserve">, </w:t>
      </w:r>
      <w:r w:rsidR="00925683" w:rsidRPr="00925683">
        <w:rPr>
          <w:rFonts w:ascii="Times New Roman" w:hAnsi="Times New Roman" w:cs="Times New Roman"/>
        </w:rPr>
        <w:t xml:space="preserve">passed in 1984, </w:t>
      </w:r>
      <w:r w:rsidR="009F5EAA" w:rsidRPr="00925683">
        <w:rPr>
          <w:rFonts w:ascii="Times New Roman" w:hAnsi="Times New Roman" w:cs="Times New Roman"/>
        </w:rPr>
        <w:t>specifies that</w:t>
      </w:r>
      <w:r w:rsidR="00F4531E">
        <w:rPr>
          <w:rFonts w:ascii="Times New Roman" w:hAnsi="Times New Roman" w:cs="Times New Roman"/>
        </w:rPr>
        <w:t>,</w:t>
      </w:r>
      <w:r w:rsidR="009F5EAA" w:rsidRPr="00925683">
        <w:rPr>
          <w:rFonts w:ascii="Times New Roman" w:hAnsi="Times New Roman" w:cs="Times New Roman"/>
        </w:rPr>
        <w:t xml:space="preserve"> </w:t>
      </w:r>
      <w:r w:rsidR="00925683" w:rsidRPr="00925683">
        <w:rPr>
          <w:rFonts w:ascii="Times New Roman" w:hAnsi="Times New Roman" w:cs="Times New Roman"/>
        </w:rPr>
        <w:t>“</w:t>
      </w:r>
      <w:r w:rsidR="00C55849">
        <w:rPr>
          <w:rFonts w:ascii="Times New Roman" w:eastAsia="Times New Roman" w:hAnsi="Times New Roman" w:cs="Times New Roman"/>
          <w:color w:val="000000"/>
          <w:shd w:val="clear" w:color="auto" w:fill="FFFFFF"/>
        </w:rPr>
        <w:t>[n]</w:t>
      </w:r>
      <w:r w:rsidR="00925683" w:rsidRPr="00925683">
        <w:rPr>
          <w:rFonts w:ascii="Times New Roman" w:eastAsia="Times New Roman" w:hAnsi="Times New Roman" w:cs="Times New Roman"/>
          <w:color w:val="000000"/>
          <w:shd w:val="clear" w:color="auto" w:fill="FFFFFF"/>
        </w:rPr>
        <w:t>o exceptional circumstances whatsoever, whether a state of war or a threat of war, internal political instability or any other public emergency, may be invoked as a justification of torture.</w:t>
      </w:r>
      <w:r w:rsidR="00925683">
        <w:rPr>
          <w:rFonts w:ascii="Times New Roman" w:eastAsia="Times New Roman" w:hAnsi="Times New Roman" w:cs="Times New Roman"/>
          <w:color w:val="000000"/>
          <w:shd w:val="clear" w:color="auto" w:fill="FFFFFF"/>
        </w:rPr>
        <w:t>”</w:t>
      </w:r>
      <w:r w:rsidR="00925683">
        <w:rPr>
          <w:rStyle w:val="FootnoteReference"/>
          <w:rFonts w:ascii="Times New Roman" w:eastAsia="Times New Roman" w:hAnsi="Times New Roman" w:cs="Times New Roman"/>
          <w:color w:val="000000"/>
          <w:shd w:val="clear" w:color="auto" w:fill="FFFFFF"/>
        </w:rPr>
        <w:footnoteReference w:id="65"/>
      </w:r>
      <w:r w:rsidR="00E72502">
        <w:rPr>
          <w:rFonts w:ascii="Times New Roman" w:eastAsia="Times New Roman" w:hAnsi="Times New Roman" w:cs="Times New Roman"/>
          <w:color w:val="000000"/>
          <w:shd w:val="clear" w:color="auto" w:fill="FFFFFF"/>
        </w:rPr>
        <w:t xml:space="preserve">  </w:t>
      </w:r>
      <w:r w:rsidR="00B23DFF">
        <w:rPr>
          <w:rFonts w:ascii="Times New Roman" w:eastAsia="Times New Roman" w:hAnsi="Times New Roman" w:cs="Times New Roman"/>
          <w:color w:val="000000"/>
          <w:shd w:val="clear" w:color="auto" w:fill="FFFFFF"/>
        </w:rPr>
        <w:t>This</w:t>
      </w:r>
      <w:r w:rsidR="00925683">
        <w:rPr>
          <w:rFonts w:ascii="Times New Roman" w:eastAsia="Times New Roman" w:hAnsi="Times New Roman" w:cs="Times New Roman"/>
          <w:color w:val="000000"/>
          <w:shd w:val="clear" w:color="auto" w:fill="FFFFFF"/>
        </w:rPr>
        <w:t xml:space="preserve"> language implies a preemptory nature</w:t>
      </w:r>
      <w:r w:rsidR="00B23DFF">
        <w:rPr>
          <w:rFonts w:ascii="Times New Roman" w:eastAsia="Times New Roman" w:hAnsi="Times New Roman" w:cs="Times New Roman"/>
          <w:color w:val="000000"/>
          <w:shd w:val="clear" w:color="auto" w:fill="FFFFFF"/>
        </w:rPr>
        <w:t xml:space="preserve">, and there is similar language in the international agreements pertaining to the other acts that are considered </w:t>
      </w:r>
      <w:r w:rsidR="00B23DFF">
        <w:rPr>
          <w:rFonts w:ascii="Times New Roman" w:eastAsia="Times New Roman" w:hAnsi="Times New Roman" w:cs="Times New Roman"/>
          <w:i/>
          <w:color w:val="000000"/>
          <w:shd w:val="clear" w:color="auto" w:fill="FFFFFF"/>
        </w:rPr>
        <w:t xml:space="preserve">jus </w:t>
      </w:r>
      <w:proofErr w:type="spellStart"/>
      <w:r w:rsidR="00B23DFF">
        <w:rPr>
          <w:rFonts w:ascii="Times New Roman" w:eastAsia="Times New Roman" w:hAnsi="Times New Roman" w:cs="Times New Roman"/>
          <w:i/>
          <w:color w:val="000000"/>
          <w:shd w:val="clear" w:color="auto" w:fill="FFFFFF"/>
        </w:rPr>
        <w:t>cogens</w:t>
      </w:r>
      <w:proofErr w:type="spellEnd"/>
      <w:r w:rsidR="00B23DFF">
        <w:rPr>
          <w:rFonts w:ascii="Times New Roman" w:eastAsia="Times New Roman" w:hAnsi="Times New Roman" w:cs="Times New Roman"/>
          <w:color w:val="000000"/>
          <w:shd w:val="clear" w:color="auto" w:fill="FFFFFF"/>
        </w:rPr>
        <w:t>.</w:t>
      </w:r>
      <w:r w:rsidR="008E1F97">
        <w:rPr>
          <w:rFonts w:ascii="Times New Roman" w:eastAsia="Times New Roman" w:hAnsi="Times New Roman" w:cs="Times New Roman"/>
          <w:color w:val="000000"/>
          <w:shd w:val="clear" w:color="auto" w:fill="FFFFFF"/>
        </w:rPr>
        <w:t xml:space="preserve">  </w:t>
      </w:r>
    </w:p>
    <w:p w14:paraId="03F46526" w14:textId="51596856" w:rsidR="00693433" w:rsidRPr="0060204C" w:rsidRDefault="00693433" w:rsidP="00A82669">
      <w:pPr>
        <w:ind w:firstLine="720"/>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lastRenderedPageBreak/>
        <w:t>Each of the three atrocity</w:t>
      </w:r>
      <w:r w:rsidR="00383B33">
        <w:rPr>
          <w:rFonts w:ascii="Times New Roman" w:eastAsia="Times New Roman" w:hAnsi="Times New Roman" w:cs="Times New Roman"/>
          <w:color w:val="000000"/>
          <w:shd w:val="clear" w:color="auto" w:fill="FFFFFF"/>
        </w:rPr>
        <w:t xml:space="preserve"> crimes discussed in this Note—</w:t>
      </w:r>
      <w:r>
        <w:rPr>
          <w:rFonts w:ascii="Times New Roman" w:eastAsia="Times New Roman" w:hAnsi="Times New Roman" w:cs="Times New Roman"/>
          <w:color w:val="000000"/>
          <w:shd w:val="clear" w:color="auto" w:fill="FFFFFF"/>
        </w:rPr>
        <w:t>genocide, war crimes, and crimes against humanity</w:t>
      </w:r>
      <w:r w:rsidR="00934D46">
        <w:rPr>
          <w:rFonts w:ascii="Times New Roman" w:eastAsia="Times New Roman" w:hAnsi="Times New Roman" w:cs="Times New Roman"/>
          <w:color w:val="000000"/>
          <w:shd w:val="clear" w:color="auto" w:fill="FFFFFF"/>
        </w:rPr>
        <w:t>—</w:t>
      </w:r>
      <w:r>
        <w:rPr>
          <w:rFonts w:ascii="Times New Roman" w:eastAsia="Times New Roman" w:hAnsi="Times New Roman" w:cs="Times New Roman"/>
          <w:color w:val="000000"/>
          <w:shd w:val="clear" w:color="auto" w:fill="FFFFFF"/>
        </w:rPr>
        <w:t xml:space="preserve">are considered </w:t>
      </w:r>
      <w:r>
        <w:rPr>
          <w:rFonts w:ascii="Times New Roman" w:eastAsia="Times New Roman" w:hAnsi="Times New Roman" w:cs="Times New Roman"/>
          <w:i/>
          <w:iCs/>
          <w:color w:val="000000"/>
          <w:shd w:val="clear" w:color="auto" w:fill="FFFFFF"/>
        </w:rPr>
        <w:t xml:space="preserve">jus </w:t>
      </w:r>
      <w:proofErr w:type="spellStart"/>
      <w:r>
        <w:rPr>
          <w:rFonts w:ascii="Times New Roman" w:eastAsia="Times New Roman" w:hAnsi="Times New Roman" w:cs="Times New Roman"/>
          <w:i/>
          <w:iCs/>
          <w:color w:val="000000"/>
          <w:shd w:val="clear" w:color="auto" w:fill="FFFFFF"/>
        </w:rPr>
        <w:t>cogens</w:t>
      </w:r>
      <w:proofErr w:type="spellEnd"/>
      <w:r w:rsidR="00934D46">
        <w:rPr>
          <w:rFonts w:ascii="Times New Roman" w:eastAsia="Times New Roman" w:hAnsi="Times New Roman" w:cs="Times New Roman"/>
          <w:i/>
          <w:iCs/>
          <w:color w:val="000000"/>
          <w:shd w:val="clear" w:color="auto" w:fill="FFFFFF"/>
        </w:rPr>
        <w:t xml:space="preserve"> </w:t>
      </w:r>
      <w:r w:rsidR="00934D46">
        <w:rPr>
          <w:rFonts w:ascii="Times New Roman" w:eastAsia="Times New Roman" w:hAnsi="Times New Roman" w:cs="Times New Roman"/>
          <w:color w:val="000000"/>
          <w:shd w:val="clear" w:color="auto" w:fill="FFFFFF"/>
        </w:rPr>
        <w:t>norms</w:t>
      </w:r>
      <w:r>
        <w:rPr>
          <w:rFonts w:ascii="Times New Roman" w:eastAsia="Times New Roman" w:hAnsi="Times New Roman" w:cs="Times New Roman"/>
          <w:color w:val="000000"/>
          <w:shd w:val="clear" w:color="auto" w:fill="FFFFFF"/>
        </w:rPr>
        <w:t>.</w:t>
      </w:r>
      <w:r w:rsidR="006045F3">
        <w:rPr>
          <w:rStyle w:val="FootnoteReference"/>
          <w:rFonts w:ascii="Times New Roman" w:eastAsia="Times New Roman" w:hAnsi="Times New Roman" w:cs="Times New Roman"/>
          <w:color w:val="000000"/>
          <w:shd w:val="clear" w:color="auto" w:fill="FFFFFF"/>
        </w:rPr>
        <w:footnoteReference w:id="66"/>
      </w:r>
      <w:r>
        <w:rPr>
          <w:rFonts w:ascii="Times New Roman" w:eastAsia="Times New Roman" w:hAnsi="Times New Roman" w:cs="Times New Roman"/>
          <w:color w:val="000000"/>
          <w:shd w:val="clear" w:color="auto" w:fill="FFFFFF"/>
        </w:rPr>
        <w:t xml:space="preserve">  This means that the commission of the crime need not</w:t>
      </w:r>
      <w:r w:rsidR="00934D46">
        <w:rPr>
          <w:rFonts w:ascii="Times New Roman" w:eastAsia="Times New Roman" w:hAnsi="Times New Roman" w:cs="Times New Roman"/>
          <w:color w:val="000000"/>
          <w:shd w:val="clear" w:color="auto" w:fill="FFFFFF"/>
        </w:rPr>
        <w:t xml:space="preserve"> be connected to a state party—</w:t>
      </w:r>
      <w:r>
        <w:rPr>
          <w:rFonts w:ascii="Times New Roman" w:eastAsia="Times New Roman" w:hAnsi="Times New Roman" w:cs="Times New Roman"/>
          <w:color w:val="000000"/>
          <w:shd w:val="clear" w:color="auto" w:fill="FFFFFF"/>
        </w:rPr>
        <w:t xml:space="preserve">the grounds for </w:t>
      </w:r>
      <w:r w:rsidR="00934D46">
        <w:rPr>
          <w:rFonts w:ascii="Times New Roman" w:eastAsia="Times New Roman" w:hAnsi="Times New Roman" w:cs="Times New Roman"/>
          <w:color w:val="000000"/>
          <w:shd w:val="clear" w:color="auto" w:fill="FFFFFF"/>
        </w:rPr>
        <w:t xml:space="preserve">criminal </w:t>
      </w:r>
      <w:r>
        <w:rPr>
          <w:rFonts w:ascii="Times New Roman" w:eastAsia="Times New Roman" w:hAnsi="Times New Roman" w:cs="Times New Roman"/>
          <w:color w:val="000000"/>
          <w:shd w:val="clear" w:color="auto" w:fill="FFFFFF"/>
        </w:rPr>
        <w:t xml:space="preserve">jurisdiction are different for </w:t>
      </w:r>
      <w:r w:rsidR="006045F3">
        <w:rPr>
          <w:rFonts w:ascii="Times New Roman" w:eastAsia="Times New Roman" w:hAnsi="Times New Roman" w:cs="Times New Roman"/>
          <w:i/>
          <w:iCs/>
          <w:color w:val="000000"/>
          <w:shd w:val="clear" w:color="auto" w:fill="FFFFFF"/>
        </w:rPr>
        <w:t xml:space="preserve">jus </w:t>
      </w:r>
      <w:proofErr w:type="spellStart"/>
      <w:r w:rsidR="006045F3">
        <w:rPr>
          <w:rFonts w:ascii="Times New Roman" w:eastAsia="Times New Roman" w:hAnsi="Times New Roman" w:cs="Times New Roman"/>
          <w:i/>
          <w:iCs/>
          <w:color w:val="000000"/>
          <w:shd w:val="clear" w:color="auto" w:fill="FFFFFF"/>
        </w:rPr>
        <w:t>cogens</w:t>
      </w:r>
      <w:proofErr w:type="spellEnd"/>
      <w:r w:rsidR="006045F3">
        <w:rPr>
          <w:rFonts w:ascii="Times New Roman" w:eastAsia="Times New Roman" w:hAnsi="Times New Roman" w:cs="Times New Roman"/>
          <w:color w:val="000000"/>
          <w:shd w:val="clear" w:color="auto" w:fill="FFFFFF"/>
        </w:rPr>
        <w:t xml:space="preserve"> crimes than for other crimes.</w:t>
      </w:r>
      <w:r w:rsidR="00F86AE1">
        <w:rPr>
          <w:rStyle w:val="FootnoteReference"/>
          <w:rFonts w:ascii="Times New Roman" w:eastAsia="Times New Roman" w:hAnsi="Times New Roman" w:cs="Times New Roman"/>
          <w:color w:val="000000"/>
          <w:shd w:val="clear" w:color="auto" w:fill="FFFFFF"/>
        </w:rPr>
        <w:footnoteReference w:id="67"/>
      </w:r>
      <w:r w:rsidR="00F86AE1">
        <w:rPr>
          <w:rFonts w:ascii="Times New Roman" w:eastAsia="Times New Roman" w:hAnsi="Times New Roman" w:cs="Times New Roman"/>
          <w:color w:val="000000"/>
          <w:shd w:val="clear" w:color="auto" w:fill="FFFFFF"/>
        </w:rPr>
        <w:t xml:space="preserve">  </w:t>
      </w:r>
      <w:r w:rsidR="000E43A0">
        <w:rPr>
          <w:rFonts w:ascii="Times New Roman" w:eastAsia="Times New Roman" w:hAnsi="Times New Roman" w:cs="Times New Roman"/>
          <w:color w:val="000000"/>
          <w:shd w:val="clear" w:color="auto" w:fill="FFFFFF"/>
        </w:rPr>
        <w:t>All s</w:t>
      </w:r>
      <w:r w:rsidR="0060204C">
        <w:rPr>
          <w:rFonts w:ascii="Times New Roman" w:eastAsia="Times New Roman" w:hAnsi="Times New Roman" w:cs="Times New Roman"/>
          <w:color w:val="000000"/>
          <w:shd w:val="clear" w:color="auto" w:fill="FFFFFF"/>
        </w:rPr>
        <w:t xml:space="preserve">tates are not only </w:t>
      </w:r>
      <w:r w:rsidR="0060204C">
        <w:rPr>
          <w:rFonts w:ascii="Times New Roman" w:eastAsia="Times New Roman" w:hAnsi="Times New Roman" w:cs="Times New Roman"/>
          <w:i/>
          <w:iCs/>
          <w:color w:val="000000"/>
          <w:shd w:val="clear" w:color="auto" w:fill="FFFFFF"/>
        </w:rPr>
        <w:t>permitted</w:t>
      </w:r>
      <w:r w:rsidR="0060204C">
        <w:rPr>
          <w:rFonts w:ascii="Times New Roman" w:eastAsia="Times New Roman" w:hAnsi="Times New Roman" w:cs="Times New Roman"/>
          <w:color w:val="000000"/>
          <w:shd w:val="clear" w:color="auto" w:fill="FFFFFF"/>
        </w:rPr>
        <w:t xml:space="preserve"> to prosecute alleged perpetrators of </w:t>
      </w:r>
      <w:r w:rsidR="0060204C">
        <w:rPr>
          <w:rFonts w:ascii="Times New Roman" w:eastAsia="Times New Roman" w:hAnsi="Times New Roman" w:cs="Times New Roman"/>
          <w:i/>
          <w:iCs/>
          <w:color w:val="000000"/>
          <w:shd w:val="clear" w:color="auto" w:fill="FFFFFF"/>
        </w:rPr>
        <w:t xml:space="preserve">jus </w:t>
      </w:r>
      <w:proofErr w:type="spellStart"/>
      <w:r w:rsidR="0060204C">
        <w:rPr>
          <w:rFonts w:ascii="Times New Roman" w:eastAsia="Times New Roman" w:hAnsi="Times New Roman" w:cs="Times New Roman"/>
          <w:i/>
          <w:iCs/>
          <w:color w:val="000000"/>
          <w:shd w:val="clear" w:color="auto" w:fill="FFFFFF"/>
        </w:rPr>
        <w:t>cogens</w:t>
      </w:r>
      <w:proofErr w:type="spellEnd"/>
      <w:r w:rsidR="0060204C">
        <w:rPr>
          <w:rFonts w:ascii="Times New Roman" w:eastAsia="Times New Roman" w:hAnsi="Times New Roman" w:cs="Times New Roman"/>
          <w:color w:val="000000"/>
          <w:shd w:val="clear" w:color="auto" w:fill="FFFFFF"/>
        </w:rPr>
        <w:t xml:space="preserve"> crimes, they are </w:t>
      </w:r>
      <w:r w:rsidR="0060204C">
        <w:rPr>
          <w:rFonts w:ascii="Times New Roman" w:eastAsia="Times New Roman" w:hAnsi="Times New Roman" w:cs="Times New Roman"/>
          <w:i/>
          <w:iCs/>
          <w:color w:val="000000"/>
          <w:shd w:val="clear" w:color="auto" w:fill="FFFFFF"/>
        </w:rPr>
        <w:t xml:space="preserve">obligated </w:t>
      </w:r>
      <w:r w:rsidR="0060204C">
        <w:rPr>
          <w:rFonts w:ascii="Times New Roman" w:eastAsia="Times New Roman" w:hAnsi="Times New Roman" w:cs="Times New Roman"/>
          <w:color w:val="000000"/>
          <w:shd w:val="clear" w:color="auto" w:fill="FFFFFF"/>
        </w:rPr>
        <w:t>to do so.</w:t>
      </w:r>
      <w:r w:rsidR="00F86AE1">
        <w:rPr>
          <w:rStyle w:val="FootnoteReference"/>
          <w:rFonts w:ascii="Times New Roman" w:eastAsia="Times New Roman" w:hAnsi="Times New Roman" w:cs="Times New Roman"/>
          <w:color w:val="000000"/>
          <w:shd w:val="clear" w:color="auto" w:fill="FFFFFF"/>
        </w:rPr>
        <w:footnoteReference w:id="68"/>
      </w:r>
      <w:r w:rsidR="00983F3E">
        <w:rPr>
          <w:rFonts w:ascii="Times New Roman" w:eastAsia="Times New Roman" w:hAnsi="Times New Roman" w:cs="Times New Roman"/>
          <w:color w:val="000000"/>
          <w:shd w:val="clear" w:color="auto" w:fill="FFFFFF"/>
        </w:rPr>
        <w:t xml:space="preserve">  However, there are those </w:t>
      </w:r>
      <w:r w:rsidR="00CF04DF">
        <w:rPr>
          <w:rFonts w:ascii="Times New Roman" w:eastAsia="Times New Roman" w:hAnsi="Times New Roman" w:cs="Times New Roman"/>
          <w:color w:val="000000"/>
          <w:shd w:val="clear" w:color="auto" w:fill="FFFFFF"/>
        </w:rPr>
        <w:t xml:space="preserve">who believe that prosecution may not be </w:t>
      </w:r>
      <w:r w:rsidR="00E42579">
        <w:rPr>
          <w:rFonts w:ascii="Times New Roman" w:eastAsia="Times New Roman" w:hAnsi="Times New Roman" w:cs="Times New Roman"/>
          <w:color w:val="000000"/>
          <w:shd w:val="clear" w:color="auto" w:fill="FFFFFF"/>
        </w:rPr>
        <w:t xml:space="preserve">the most effective </w:t>
      </w:r>
      <w:r w:rsidR="003E5CF2">
        <w:rPr>
          <w:rFonts w:ascii="Times New Roman" w:eastAsia="Times New Roman" w:hAnsi="Times New Roman" w:cs="Times New Roman"/>
          <w:color w:val="000000"/>
          <w:shd w:val="clear" w:color="auto" w:fill="FFFFFF"/>
        </w:rPr>
        <w:t>response to atrocities.</w:t>
      </w:r>
      <w:r w:rsidR="00A82669" w:rsidRPr="0060204C">
        <w:rPr>
          <w:rFonts w:ascii="Times New Roman" w:eastAsia="Times New Roman" w:hAnsi="Times New Roman" w:cs="Times New Roman"/>
          <w:color w:val="000000"/>
          <w:shd w:val="clear" w:color="auto" w:fill="FFFFFF"/>
        </w:rPr>
        <w:t xml:space="preserve"> </w:t>
      </w:r>
    </w:p>
    <w:p w14:paraId="69A15B3E" w14:textId="77777777" w:rsidR="00347FCC" w:rsidRPr="003354CC" w:rsidRDefault="00347FCC" w:rsidP="006009D2">
      <w:pPr>
        <w:ind w:firstLine="720"/>
        <w:jc w:val="both"/>
        <w:rPr>
          <w:rFonts w:ascii="Times New Roman" w:eastAsia="Times New Roman" w:hAnsi="Times New Roman" w:cs="Times New Roman"/>
          <w:color w:val="000000"/>
          <w:shd w:val="clear" w:color="auto" w:fill="FFFFFF"/>
        </w:rPr>
      </w:pPr>
    </w:p>
    <w:p w14:paraId="4FF84F4A" w14:textId="7B339248" w:rsidR="002B08EB" w:rsidRPr="00987C06" w:rsidRDefault="002373AB" w:rsidP="00987C06">
      <w:pPr>
        <w:jc w:val="center"/>
        <w:rPr>
          <w:rFonts w:ascii="Times New Roman" w:hAnsi="Times New Roman"/>
        </w:rPr>
      </w:pPr>
      <w:r w:rsidRPr="00987C06">
        <w:rPr>
          <w:rFonts w:ascii="Times New Roman" w:eastAsia="Times New Roman" w:hAnsi="Times New Roman" w:cs="Times New Roman"/>
        </w:rPr>
        <w:t xml:space="preserve">B.  </w:t>
      </w:r>
      <w:r w:rsidR="00686548" w:rsidRPr="00987C06">
        <w:rPr>
          <w:rFonts w:ascii="Times New Roman" w:eastAsia="Times New Roman" w:hAnsi="Times New Roman" w:cs="Times New Roman"/>
          <w:i/>
        </w:rPr>
        <w:t>Atrocity Prevention in the Modern Er</w:t>
      </w:r>
      <w:r w:rsidR="004203E2" w:rsidRPr="00987C06">
        <w:rPr>
          <w:rFonts w:ascii="Times New Roman" w:eastAsia="Times New Roman" w:hAnsi="Times New Roman" w:cs="Times New Roman"/>
          <w:i/>
        </w:rPr>
        <w:t>a: Mechanisms for Enforcement and Intervention</w:t>
      </w:r>
    </w:p>
    <w:p w14:paraId="44A784E0" w14:textId="77777777" w:rsidR="00347FCC" w:rsidRPr="003354CC" w:rsidRDefault="00347FCC" w:rsidP="006009D2">
      <w:pPr>
        <w:pStyle w:val="ListParagraph"/>
        <w:rPr>
          <w:rFonts w:ascii="Times New Roman" w:hAnsi="Times New Roman"/>
        </w:rPr>
      </w:pPr>
    </w:p>
    <w:p w14:paraId="50FB52C8" w14:textId="2E7586DE" w:rsidR="00C54CCB" w:rsidRDefault="00133B5A" w:rsidP="00A82669">
      <w:pPr>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The </w:t>
      </w:r>
      <w:r w:rsidR="0080606B">
        <w:rPr>
          <w:rFonts w:ascii="Times New Roman" w:hAnsi="Times New Roman" w:cs="Times New Roman"/>
          <w:color w:val="000000" w:themeColor="text1"/>
        </w:rPr>
        <w:t xml:space="preserve">late 1990s and </w:t>
      </w:r>
      <w:r>
        <w:rPr>
          <w:rFonts w:ascii="Times New Roman" w:hAnsi="Times New Roman" w:cs="Times New Roman"/>
          <w:color w:val="000000" w:themeColor="text1"/>
        </w:rPr>
        <w:t xml:space="preserve">early 2000s represented a shift in </w:t>
      </w:r>
      <w:r w:rsidR="002E1251">
        <w:rPr>
          <w:rFonts w:ascii="Times New Roman" w:hAnsi="Times New Roman" w:cs="Times New Roman"/>
          <w:color w:val="000000" w:themeColor="text1"/>
        </w:rPr>
        <w:t>the atrocity prevention paradigm</w:t>
      </w:r>
      <w:r w:rsidR="0080606B">
        <w:rPr>
          <w:rFonts w:ascii="Times New Roman" w:hAnsi="Times New Roman" w:cs="Times New Roman"/>
          <w:color w:val="000000" w:themeColor="text1"/>
        </w:rPr>
        <w:t>—</w:t>
      </w:r>
      <w:r w:rsidR="00062BF1">
        <w:rPr>
          <w:rFonts w:ascii="Times New Roman" w:hAnsi="Times New Roman" w:cs="Times New Roman"/>
          <w:color w:val="000000" w:themeColor="text1"/>
        </w:rPr>
        <w:t>t</w:t>
      </w:r>
      <w:r w:rsidR="001541CA">
        <w:rPr>
          <w:rFonts w:ascii="Times New Roman" w:hAnsi="Times New Roman" w:cs="Times New Roman"/>
          <w:color w:val="000000" w:themeColor="text1"/>
        </w:rPr>
        <w:t xml:space="preserve">he international community began to push for the development of new enforcement mechanisms for the existing atrocity prevention </w:t>
      </w:r>
      <w:r w:rsidR="00E579C5">
        <w:rPr>
          <w:rFonts w:ascii="Times New Roman" w:hAnsi="Times New Roman" w:cs="Times New Roman"/>
          <w:color w:val="000000" w:themeColor="text1"/>
        </w:rPr>
        <w:t>schema</w:t>
      </w:r>
      <w:r w:rsidR="001541CA">
        <w:rPr>
          <w:rFonts w:ascii="Times New Roman" w:hAnsi="Times New Roman" w:cs="Times New Roman"/>
          <w:color w:val="000000" w:themeColor="text1"/>
        </w:rPr>
        <w:t>.</w:t>
      </w:r>
      <w:r w:rsidR="00E72502">
        <w:rPr>
          <w:rFonts w:ascii="Times New Roman" w:hAnsi="Times New Roman" w:cs="Times New Roman"/>
          <w:color w:val="000000" w:themeColor="text1"/>
        </w:rPr>
        <w:t xml:space="preserve">  </w:t>
      </w:r>
      <w:r w:rsidR="00D013CD">
        <w:rPr>
          <w:rFonts w:ascii="Times New Roman" w:hAnsi="Times New Roman" w:cs="Times New Roman"/>
          <w:color w:val="000000" w:themeColor="text1"/>
        </w:rPr>
        <w:t>In 1998, a group of states</w:t>
      </w:r>
      <w:r w:rsidR="005E4DAD">
        <w:rPr>
          <w:rStyle w:val="FootnoteReference"/>
          <w:rFonts w:ascii="Times New Roman" w:hAnsi="Times New Roman" w:cs="Times New Roman"/>
          <w:color w:val="000000" w:themeColor="text1"/>
        </w:rPr>
        <w:footnoteReference w:id="69"/>
      </w:r>
      <w:r w:rsidR="00D013CD">
        <w:rPr>
          <w:rFonts w:ascii="Times New Roman" w:hAnsi="Times New Roman" w:cs="Times New Roman"/>
          <w:color w:val="000000" w:themeColor="text1"/>
        </w:rPr>
        <w:t xml:space="preserve"> came together at a conference to adopt the Rome Statute</w:t>
      </w:r>
      <w:r w:rsidR="00763D3B">
        <w:rPr>
          <w:rFonts w:ascii="Times New Roman" w:hAnsi="Times New Roman" w:cs="Times New Roman"/>
          <w:color w:val="000000" w:themeColor="text1"/>
        </w:rPr>
        <w:t xml:space="preserve"> of the International Criminal Court (</w:t>
      </w:r>
      <w:r w:rsidR="00D641C1">
        <w:rPr>
          <w:rFonts w:ascii="Times New Roman" w:hAnsi="Times New Roman" w:cs="Times New Roman"/>
          <w:color w:val="000000" w:themeColor="text1"/>
        </w:rPr>
        <w:t>“</w:t>
      </w:r>
      <w:r w:rsidR="00763D3B">
        <w:rPr>
          <w:rFonts w:ascii="Times New Roman" w:hAnsi="Times New Roman" w:cs="Times New Roman"/>
          <w:color w:val="000000" w:themeColor="text1"/>
        </w:rPr>
        <w:t>Rome Statute</w:t>
      </w:r>
      <w:r w:rsidR="00D641C1">
        <w:rPr>
          <w:rFonts w:ascii="Times New Roman" w:hAnsi="Times New Roman" w:cs="Times New Roman"/>
          <w:color w:val="000000" w:themeColor="text1"/>
        </w:rPr>
        <w:t>”</w:t>
      </w:r>
      <w:r w:rsidR="00763D3B">
        <w:rPr>
          <w:rFonts w:ascii="Times New Roman" w:hAnsi="Times New Roman" w:cs="Times New Roman"/>
          <w:color w:val="000000" w:themeColor="text1"/>
        </w:rPr>
        <w:t>)</w:t>
      </w:r>
      <w:r w:rsidR="00D013CD">
        <w:rPr>
          <w:rFonts w:ascii="Times New Roman" w:hAnsi="Times New Roman" w:cs="Times New Roman"/>
          <w:color w:val="000000" w:themeColor="text1"/>
        </w:rPr>
        <w:t>, which established the ICC.</w:t>
      </w:r>
      <w:r w:rsidR="00D013CD">
        <w:rPr>
          <w:rStyle w:val="FootnoteReference"/>
          <w:rFonts w:ascii="Times New Roman" w:hAnsi="Times New Roman" w:cs="Times New Roman"/>
          <w:color w:val="000000" w:themeColor="text1"/>
        </w:rPr>
        <w:footnoteReference w:id="70"/>
      </w:r>
      <w:r w:rsidR="00E72502">
        <w:rPr>
          <w:rFonts w:ascii="Times New Roman" w:hAnsi="Times New Roman" w:cs="Times New Roman"/>
          <w:color w:val="000000" w:themeColor="text1"/>
        </w:rPr>
        <w:t xml:space="preserve">  </w:t>
      </w:r>
      <w:r w:rsidR="00B9472E">
        <w:rPr>
          <w:rFonts w:ascii="Times New Roman" w:hAnsi="Times New Roman" w:cs="Times New Roman"/>
          <w:color w:val="000000" w:themeColor="text1"/>
        </w:rPr>
        <w:t xml:space="preserve">The ICC </w:t>
      </w:r>
      <w:r w:rsidR="00A82669">
        <w:rPr>
          <w:rFonts w:ascii="Times New Roman" w:hAnsi="Times New Roman" w:cs="Times New Roman"/>
          <w:color w:val="000000" w:themeColor="text1"/>
        </w:rPr>
        <w:t xml:space="preserve">works towards </w:t>
      </w:r>
      <w:r w:rsidR="00B9472E">
        <w:rPr>
          <w:rFonts w:ascii="Times New Roman" w:hAnsi="Times New Roman" w:cs="Times New Roman"/>
          <w:color w:val="000000" w:themeColor="text1"/>
        </w:rPr>
        <w:t>hold</w:t>
      </w:r>
      <w:r w:rsidR="00A82669">
        <w:rPr>
          <w:rFonts w:ascii="Times New Roman" w:hAnsi="Times New Roman" w:cs="Times New Roman"/>
          <w:color w:val="000000" w:themeColor="text1"/>
        </w:rPr>
        <w:t>ing</w:t>
      </w:r>
      <w:r w:rsidR="00B9472E">
        <w:rPr>
          <w:rFonts w:ascii="Times New Roman" w:hAnsi="Times New Roman" w:cs="Times New Roman"/>
          <w:color w:val="000000" w:themeColor="text1"/>
        </w:rPr>
        <w:t xml:space="preserve"> individuals accountable for the perpetration of mass atrocities, with criminal accountability acting as a deterrent in the same way it does in many domestic systems of criminal law.</w:t>
      </w:r>
      <w:r w:rsidR="00B9472E">
        <w:rPr>
          <w:rStyle w:val="FootnoteReference"/>
          <w:rFonts w:ascii="Times New Roman" w:hAnsi="Times New Roman" w:cs="Times New Roman"/>
          <w:color w:val="000000" w:themeColor="text1"/>
        </w:rPr>
        <w:footnoteReference w:id="71"/>
      </w:r>
      <w:r w:rsidR="00E72502">
        <w:rPr>
          <w:rFonts w:ascii="Times New Roman" w:hAnsi="Times New Roman" w:cs="Times New Roman"/>
          <w:color w:val="000000" w:themeColor="text1"/>
        </w:rPr>
        <w:t xml:space="preserve">  </w:t>
      </w:r>
      <w:r w:rsidR="00B9472E">
        <w:rPr>
          <w:rFonts w:ascii="Times New Roman" w:hAnsi="Times New Roman" w:cs="Times New Roman"/>
          <w:color w:val="000000" w:themeColor="text1"/>
        </w:rPr>
        <w:t xml:space="preserve">This </w:t>
      </w:r>
      <w:r w:rsidR="00BE698D">
        <w:rPr>
          <w:rFonts w:ascii="Times New Roman" w:hAnsi="Times New Roman" w:cs="Times New Roman"/>
          <w:color w:val="000000" w:themeColor="text1"/>
        </w:rPr>
        <w:t>idea is derived from the primary functions of international criminal law.</w:t>
      </w:r>
      <w:r w:rsidR="00BE698D">
        <w:rPr>
          <w:rStyle w:val="FootnoteReference"/>
          <w:rFonts w:ascii="Times New Roman" w:hAnsi="Times New Roman" w:cs="Times New Roman"/>
          <w:color w:val="000000" w:themeColor="text1"/>
        </w:rPr>
        <w:footnoteReference w:id="72"/>
      </w:r>
      <w:r w:rsidR="00E72502">
        <w:rPr>
          <w:rFonts w:ascii="Times New Roman" w:hAnsi="Times New Roman" w:cs="Times New Roman"/>
          <w:color w:val="000000" w:themeColor="text1"/>
        </w:rPr>
        <w:t xml:space="preserve">  </w:t>
      </w:r>
      <w:r w:rsidR="00BE698D">
        <w:rPr>
          <w:rFonts w:ascii="Times New Roman" w:hAnsi="Times New Roman" w:cs="Times New Roman"/>
          <w:color w:val="000000" w:themeColor="text1"/>
        </w:rPr>
        <w:t>While many proponents of the ICC argue that prosecution is an effective deterrent to the perpetration of atrocity crimes, the Court certainly has its critics</w:t>
      </w:r>
      <w:r w:rsidR="00BC2E1E">
        <w:rPr>
          <w:rFonts w:ascii="Times New Roman" w:hAnsi="Times New Roman" w:cs="Times New Roman"/>
          <w:color w:val="000000" w:themeColor="text1"/>
        </w:rPr>
        <w:t xml:space="preserve">.  </w:t>
      </w:r>
      <w:r w:rsidR="000D102D">
        <w:rPr>
          <w:rFonts w:ascii="Times New Roman" w:hAnsi="Times New Roman" w:cs="Times New Roman"/>
          <w:color w:val="000000" w:themeColor="text1"/>
        </w:rPr>
        <w:t>In his discussion on transitional justice</w:t>
      </w:r>
      <w:r w:rsidR="000D102D">
        <w:rPr>
          <w:rStyle w:val="FootnoteReference"/>
          <w:rFonts w:ascii="Times New Roman" w:hAnsi="Times New Roman" w:cs="Times New Roman"/>
          <w:color w:val="000000" w:themeColor="text1"/>
        </w:rPr>
        <w:footnoteReference w:id="73"/>
      </w:r>
      <w:r w:rsidR="000D102D">
        <w:rPr>
          <w:rFonts w:ascii="Times New Roman" w:hAnsi="Times New Roman" w:cs="Times New Roman"/>
          <w:color w:val="000000" w:themeColor="text1"/>
        </w:rPr>
        <w:t xml:space="preserve"> in Kenya, </w:t>
      </w:r>
      <w:proofErr w:type="spellStart"/>
      <w:r w:rsidR="000D102D">
        <w:rPr>
          <w:rFonts w:ascii="Times New Roman" w:hAnsi="Times New Roman" w:cs="Times New Roman"/>
          <w:color w:val="000000" w:themeColor="text1"/>
        </w:rPr>
        <w:lastRenderedPageBreak/>
        <w:t>Amboko</w:t>
      </w:r>
      <w:proofErr w:type="spellEnd"/>
      <w:r w:rsidR="000D102D">
        <w:rPr>
          <w:rFonts w:ascii="Times New Roman" w:hAnsi="Times New Roman" w:cs="Times New Roman"/>
          <w:color w:val="000000" w:themeColor="text1"/>
        </w:rPr>
        <w:t xml:space="preserve"> </w:t>
      </w:r>
      <w:proofErr w:type="spellStart"/>
      <w:r w:rsidR="000D102D">
        <w:rPr>
          <w:rFonts w:ascii="Times New Roman" w:hAnsi="Times New Roman" w:cs="Times New Roman"/>
          <w:color w:val="000000" w:themeColor="text1"/>
        </w:rPr>
        <w:t>Wameyo</w:t>
      </w:r>
      <w:proofErr w:type="spellEnd"/>
      <w:r w:rsidR="000D102D">
        <w:rPr>
          <w:rFonts w:ascii="Times New Roman" w:hAnsi="Times New Roman" w:cs="Times New Roman"/>
          <w:color w:val="000000" w:themeColor="text1"/>
        </w:rPr>
        <w:t xml:space="preserve"> </w:t>
      </w:r>
      <w:r w:rsidR="00BB10C1">
        <w:rPr>
          <w:rFonts w:ascii="Times New Roman" w:hAnsi="Times New Roman" w:cs="Times New Roman"/>
          <w:color w:val="000000" w:themeColor="text1"/>
        </w:rPr>
        <w:t>highlights some of the issues with prosecutorial discretion.</w:t>
      </w:r>
      <w:r w:rsidR="00BB10C1">
        <w:rPr>
          <w:rStyle w:val="FootnoteReference"/>
          <w:rFonts w:ascii="Times New Roman" w:hAnsi="Times New Roman" w:cs="Times New Roman"/>
          <w:color w:val="000000" w:themeColor="text1"/>
        </w:rPr>
        <w:footnoteReference w:id="74"/>
      </w:r>
      <w:r w:rsidR="00E72502">
        <w:rPr>
          <w:rFonts w:ascii="Times New Roman" w:hAnsi="Times New Roman" w:cs="Times New Roman"/>
          <w:color w:val="000000" w:themeColor="text1"/>
        </w:rPr>
        <w:t xml:space="preserve">  </w:t>
      </w:r>
      <w:r w:rsidR="002C62D3">
        <w:rPr>
          <w:rFonts w:ascii="Times New Roman" w:hAnsi="Times New Roman" w:cs="Times New Roman"/>
          <w:color w:val="000000" w:themeColor="text1"/>
        </w:rPr>
        <w:t>S</w:t>
      </w:r>
      <w:r w:rsidR="00306226">
        <w:rPr>
          <w:rFonts w:ascii="Times New Roman" w:hAnsi="Times New Roman" w:cs="Times New Roman"/>
          <w:color w:val="000000" w:themeColor="text1"/>
        </w:rPr>
        <w:t>everal</w:t>
      </w:r>
      <w:r w:rsidR="002C62D3">
        <w:rPr>
          <w:rFonts w:ascii="Times New Roman" w:hAnsi="Times New Roman" w:cs="Times New Roman"/>
          <w:color w:val="000000" w:themeColor="text1"/>
        </w:rPr>
        <w:t xml:space="preserve"> ICC m</w:t>
      </w:r>
      <w:r w:rsidR="00A5451F">
        <w:rPr>
          <w:rFonts w:ascii="Times New Roman" w:hAnsi="Times New Roman" w:cs="Times New Roman"/>
          <w:color w:val="000000" w:themeColor="text1"/>
        </w:rPr>
        <w:t>ember states feel</w:t>
      </w:r>
      <w:r w:rsidR="00C54CCB">
        <w:rPr>
          <w:rFonts w:ascii="Times New Roman" w:hAnsi="Times New Roman" w:cs="Times New Roman"/>
          <w:color w:val="000000" w:themeColor="text1"/>
        </w:rPr>
        <w:t xml:space="preserve"> that the Prosecutor would have too much power in this regard, but still </w:t>
      </w:r>
      <w:r w:rsidR="00F4531E">
        <w:rPr>
          <w:rFonts w:ascii="Times New Roman" w:hAnsi="Times New Roman" w:cs="Times New Roman"/>
          <w:color w:val="000000" w:themeColor="text1"/>
        </w:rPr>
        <w:t xml:space="preserve">can </w:t>
      </w:r>
      <w:r w:rsidR="00C54CCB">
        <w:rPr>
          <w:rFonts w:ascii="Times New Roman" w:hAnsi="Times New Roman" w:cs="Times New Roman"/>
          <w:color w:val="000000" w:themeColor="text1"/>
        </w:rPr>
        <w:t xml:space="preserve">be swayed by political </w:t>
      </w:r>
      <w:r w:rsidR="002F1592">
        <w:rPr>
          <w:rFonts w:ascii="Times New Roman" w:hAnsi="Times New Roman" w:cs="Times New Roman"/>
          <w:color w:val="000000" w:themeColor="text1"/>
        </w:rPr>
        <w:t>affiliations—</w:t>
      </w:r>
      <w:r w:rsidR="00BA01C5">
        <w:rPr>
          <w:rFonts w:ascii="Times New Roman" w:hAnsi="Times New Roman" w:cs="Times New Roman"/>
          <w:color w:val="000000" w:themeColor="text1"/>
        </w:rPr>
        <w:t>a dangerous combination.</w:t>
      </w:r>
      <w:r w:rsidR="001D70F3">
        <w:rPr>
          <w:rStyle w:val="FootnoteReference"/>
          <w:rFonts w:ascii="Times New Roman" w:hAnsi="Times New Roman" w:cs="Times New Roman"/>
          <w:color w:val="000000" w:themeColor="text1"/>
        </w:rPr>
        <w:footnoteReference w:id="75"/>
      </w:r>
      <w:r w:rsidR="00E72502">
        <w:rPr>
          <w:rFonts w:ascii="Times New Roman" w:hAnsi="Times New Roman" w:cs="Times New Roman"/>
          <w:color w:val="000000" w:themeColor="text1"/>
        </w:rPr>
        <w:t xml:space="preserve">  </w:t>
      </w:r>
      <w:r w:rsidR="00BA01C5">
        <w:rPr>
          <w:rFonts w:ascii="Times New Roman" w:hAnsi="Times New Roman" w:cs="Times New Roman"/>
          <w:color w:val="000000" w:themeColor="text1"/>
        </w:rPr>
        <w:t xml:space="preserve">While some member states and legal theorists were concerned about the ICC having too much power, other critics claimed that international legal institutions lack the enforcement mechanisms to act as a </w:t>
      </w:r>
      <w:r w:rsidR="008E2EDC">
        <w:rPr>
          <w:rFonts w:ascii="Times New Roman" w:hAnsi="Times New Roman" w:cs="Times New Roman"/>
          <w:color w:val="000000" w:themeColor="text1"/>
        </w:rPr>
        <w:t>l</w:t>
      </w:r>
      <w:r w:rsidR="00320F63">
        <w:rPr>
          <w:rFonts w:ascii="Times New Roman" w:hAnsi="Times New Roman" w:cs="Times New Roman"/>
          <w:color w:val="000000" w:themeColor="text1"/>
        </w:rPr>
        <w:t>egitimate deterrent.</w:t>
      </w:r>
      <w:r w:rsidR="00D12F5E">
        <w:rPr>
          <w:rStyle w:val="FootnoteReference"/>
          <w:rFonts w:ascii="Times New Roman" w:hAnsi="Times New Roman" w:cs="Times New Roman"/>
          <w:color w:val="000000" w:themeColor="text1"/>
        </w:rPr>
        <w:footnoteReference w:id="76"/>
      </w:r>
      <w:r w:rsidR="00E72502">
        <w:rPr>
          <w:rFonts w:ascii="Times New Roman" w:hAnsi="Times New Roman" w:cs="Times New Roman"/>
          <w:color w:val="000000" w:themeColor="text1"/>
        </w:rPr>
        <w:t xml:space="preserve">  </w:t>
      </w:r>
      <w:r w:rsidR="00320F63">
        <w:rPr>
          <w:rFonts w:ascii="Times New Roman" w:hAnsi="Times New Roman" w:cs="Times New Roman"/>
          <w:color w:val="000000" w:themeColor="text1"/>
        </w:rPr>
        <w:t xml:space="preserve">This fear was legitimized when </w:t>
      </w:r>
      <w:r w:rsidR="00243467">
        <w:rPr>
          <w:rFonts w:ascii="Times New Roman" w:hAnsi="Times New Roman" w:cs="Times New Roman"/>
          <w:color w:val="000000" w:themeColor="text1"/>
        </w:rPr>
        <w:t xml:space="preserve">the United States </w:t>
      </w:r>
      <w:r w:rsidR="00821643">
        <w:rPr>
          <w:rFonts w:ascii="Times New Roman" w:hAnsi="Times New Roman" w:cs="Times New Roman"/>
          <w:color w:val="000000" w:themeColor="text1"/>
        </w:rPr>
        <w:t xml:space="preserve">withdrew from the ICC in </w:t>
      </w:r>
      <w:r w:rsidR="00246DEB">
        <w:rPr>
          <w:rFonts w:ascii="Times New Roman" w:hAnsi="Times New Roman" w:cs="Times New Roman"/>
          <w:color w:val="000000" w:themeColor="text1"/>
        </w:rPr>
        <w:t>2001</w:t>
      </w:r>
      <w:r w:rsidR="006E7221">
        <w:rPr>
          <w:rFonts w:ascii="Times New Roman" w:hAnsi="Times New Roman" w:cs="Times New Roman"/>
          <w:color w:val="000000" w:themeColor="text1"/>
        </w:rPr>
        <w:t xml:space="preserve"> after signing </w:t>
      </w:r>
      <w:r w:rsidR="009E54B3">
        <w:rPr>
          <w:rFonts w:ascii="Times New Roman" w:hAnsi="Times New Roman" w:cs="Times New Roman"/>
          <w:color w:val="000000" w:themeColor="text1"/>
        </w:rPr>
        <w:t xml:space="preserve">the Rome Statute </w:t>
      </w:r>
      <w:r w:rsidR="00A77E44">
        <w:rPr>
          <w:rFonts w:ascii="Times New Roman" w:hAnsi="Times New Roman" w:cs="Times New Roman"/>
          <w:color w:val="000000" w:themeColor="text1"/>
        </w:rPr>
        <w:t>in 2000</w:t>
      </w:r>
      <w:r w:rsidR="00710D2F">
        <w:rPr>
          <w:rFonts w:ascii="Times New Roman" w:hAnsi="Times New Roman" w:cs="Times New Roman"/>
          <w:color w:val="000000" w:themeColor="text1"/>
        </w:rPr>
        <w:t xml:space="preserve">, and again </w:t>
      </w:r>
      <w:r w:rsidR="0082392D">
        <w:rPr>
          <w:rFonts w:ascii="Times New Roman" w:hAnsi="Times New Roman" w:cs="Times New Roman"/>
          <w:color w:val="000000" w:themeColor="text1"/>
        </w:rPr>
        <w:t>in 2016</w:t>
      </w:r>
      <w:r w:rsidR="009805A8">
        <w:rPr>
          <w:rFonts w:ascii="Times New Roman" w:hAnsi="Times New Roman" w:cs="Times New Roman"/>
          <w:color w:val="000000" w:themeColor="text1"/>
        </w:rPr>
        <w:t xml:space="preserve"> when Russia </w:t>
      </w:r>
      <w:r w:rsidR="00702551">
        <w:rPr>
          <w:rFonts w:ascii="Times New Roman" w:hAnsi="Times New Roman" w:cs="Times New Roman"/>
          <w:color w:val="000000" w:themeColor="text1"/>
        </w:rPr>
        <w:t>withdrew.</w:t>
      </w:r>
      <w:r w:rsidR="00777A2F">
        <w:rPr>
          <w:rStyle w:val="FootnoteReference"/>
          <w:rFonts w:ascii="Times New Roman" w:hAnsi="Times New Roman" w:cs="Times New Roman"/>
          <w:color w:val="000000" w:themeColor="text1"/>
        </w:rPr>
        <w:footnoteReference w:id="77"/>
      </w:r>
      <w:r w:rsidR="00E72502">
        <w:rPr>
          <w:rFonts w:ascii="Times New Roman" w:hAnsi="Times New Roman" w:cs="Times New Roman"/>
          <w:color w:val="000000" w:themeColor="text1"/>
        </w:rPr>
        <w:t xml:space="preserve">  </w:t>
      </w:r>
      <w:r w:rsidR="00F64583">
        <w:rPr>
          <w:rFonts w:ascii="Times New Roman" w:hAnsi="Times New Roman" w:cs="Times New Roman"/>
          <w:color w:val="000000" w:themeColor="text1"/>
        </w:rPr>
        <w:t xml:space="preserve">There </w:t>
      </w:r>
      <w:r w:rsidR="00F64583">
        <w:rPr>
          <w:rFonts w:ascii="Times New Roman" w:hAnsi="Times New Roman" w:cs="Times New Roman"/>
          <w:color w:val="000000" w:themeColor="text1"/>
        </w:rPr>
        <w:lastRenderedPageBreak/>
        <w:t>is also a contingent of legal scholars who are of the belief that prosecution is a wholly inappropriate response to atrocity crimes, and that the law cannot adequately capture the nature of these crimes.</w:t>
      </w:r>
      <w:r w:rsidR="00F64583">
        <w:rPr>
          <w:rStyle w:val="FootnoteReference"/>
          <w:rFonts w:ascii="Times New Roman" w:hAnsi="Times New Roman" w:cs="Times New Roman"/>
          <w:color w:val="000000" w:themeColor="text1"/>
        </w:rPr>
        <w:footnoteReference w:id="78"/>
      </w:r>
    </w:p>
    <w:p w14:paraId="37B270B8" w14:textId="3858AFDB" w:rsidR="002373AB" w:rsidRDefault="005F2EF2" w:rsidP="007D30EA">
      <w:pPr>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Proponents of international criminal prosecutions as a form of atrocity prevention argue that the ICC is one of most effective mechanisms developed by the international community.  </w:t>
      </w:r>
      <w:r w:rsidR="00D013CD">
        <w:rPr>
          <w:rFonts w:ascii="Times New Roman" w:hAnsi="Times New Roman" w:cs="Times New Roman"/>
          <w:color w:val="000000" w:themeColor="text1"/>
        </w:rPr>
        <w:t>Located in The Hague, the ICC has jurisdiction over three international crimes: war crimes, crimes against humanity, and genocide.</w:t>
      </w:r>
      <w:r w:rsidR="00D013CD">
        <w:rPr>
          <w:rStyle w:val="FootnoteReference"/>
          <w:rFonts w:ascii="Times New Roman" w:hAnsi="Times New Roman" w:cs="Times New Roman"/>
          <w:color w:val="000000" w:themeColor="text1"/>
        </w:rPr>
        <w:footnoteReference w:id="79"/>
      </w:r>
      <w:r w:rsidR="00E72502">
        <w:rPr>
          <w:rFonts w:ascii="Times New Roman" w:hAnsi="Times New Roman" w:cs="Times New Roman"/>
          <w:color w:val="000000" w:themeColor="text1"/>
        </w:rPr>
        <w:t xml:space="preserve">  </w:t>
      </w:r>
      <w:r w:rsidR="00FE746C">
        <w:rPr>
          <w:rFonts w:ascii="Times New Roman" w:hAnsi="Times New Roman" w:cs="Times New Roman"/>
          <w:color w:val="000000" w:themeColor="text1"/>
        </w:rPr>
        <w:t>As of</w:t>
      </w:r>
      <w:r w:rsidR="00D013CD">
        <w:rPr>
          <w:rFonts w:ascii="Times New Roman" w:hAnsi="Times New Roman" w:cs="Times New Roman"/>
          <w:color w:val="000000" w:themeColor="text1"/>
        </w:rPr>
        <w:t xml:space="preserve"> 2017, </w:t>
      </w:r>
      <w:r w:rsidR="00A5451F">
        <w:rPr>
          <w:rFonts w:ascii="Times New Roman" w:hAnsi="Times New Roman" w:cs="Times New Roman"/>
          <w:color w:val="000000" w:themeColor="text1"/>
        </w:rPr>
        <w:t xml:space="preserve">state parties have the ability to ratify a provision allowing jurisdiction over the crime of </w:t>
      </w:r>
      <w:r w:rsidR="00484E76">
        <w:rPr>
          <w:rFonts w:ascii="Times New Roman" w:hAnsi="Times New Roman" w:cs="Times New Roman"/>
          <w:color w:val="000000" w:themeColor="text1"/>
        </w:rPr>
        <w:t>aggression</w:t>
      </w:r>
      <w:r w:rsidR="00D013CD">
        <w:rPr>
          <w:rFonts w:ascii="Times New Roman" w:hAnsi="Times New Roman" w:cs="Times New Roman"/>
          <w:color w:val="000000" w:themeColor="text1"/>
        </w:rPr>
        <w:t>.</w:t>
      </w:r>
      <w:r w:rsidR="00D013CD">
        <w:rPr>
          <w:rStyle w:val="FootnoteReference"/>
          <w:rFonts w:ascii="Times New Roman" w:hAnsi="Times New Roman" w:cs="Times New Roman"/>
          <w:color w:val="000000" w:themeColor="text1"/>
        </w:rPr>
        <w:footnoteReference w:id="80"/>
      </w:r>
      <w:r w:rsidR="00E72502">
        <w:rPr>
          <w:rFonts w:ascii="Times New Roman" w:hAnsi="Times New Roman" w:cs="Times New Roman"/>
          <w:color w:val="000000" w:themeColor="text1"/>
        </w:rPr>
        <w:t xml:space="preserve">  </w:t>
      </w:r>
      <w:r w:rsidR="0063695E">
        <w:rPr>
          <w:rFonts w:ascii="Times New Roman" w:hAnsi="Times New Roman" w:cs="Times New Roman"/>
          <w:color w:val="000000" w:themeColor="text1"/>
        </w:rPr>
        <w:t>The Rome Statute details specific acts that fall under the umbrella of each crime.</w:t>
      </w:r>
      <w:r w:rsidR="0063695E">
        <w:rPr>
          <w:rStyle w:val="FootnoteReference"/>
          <w:rFonts w:ascii="Times New Roman" w:hAnsi="Times New Roman" w:cs="Times New Roman"/>
          <w:color w:val="000000" w:themeColor="text1"/>
        </w:rPr>
        <w:footnoteReference w:id="81"/>
      </w:r>
      <w:r w:rsidR="00E72502">
        <w:rPr>
          <w:rFonts w:ascii="Times New Roman" w:hAnsi="Times New Roman" w:cs="Times New Roman"/>
          <w:color w:val="000000" w:themeColor="text1"/>
        </w:rPr>
        <w:t xml:space="preserve">  </w:t>
      </w:r>
      <w:r w:rsidR="00E62E6A">
        <w:rPr>
          <w:rFonts w:ascii="Times New Roman" w:hAnsi="Times New Roman" w:cs="Times New Roman"/>
          <w:color w:val="000000" w:themeColor="text1"/>
        </w:rPr>
        <w:t>The ICC has jurisdiction over a defendant when</w:t>
      </w:r>
      <w:r w:rsidR="00056505">
        <w:rPr>
          <w:rFonts w:ascii="Times New Roman" w:hAnsi="Times New Roman" w:cs="Times New Roman"/>
          <w:color w:val="000000" w:themeColor="text1"/>
        </w:rPr>
        <w:t>:</w:t>
      </w:r>
      <w:r w:rsidR="00E62E6A">
        <w:rPr>
          <w:rFonts w:ascii="Times New Roman" w:hAnsi="Times New Roman" w:cs="Times New Roman"/>
          <w:color w:val="000000" w:themeColor="text1"/>
        </w:rPr>
        <w:t xml:space="preserve"> </w:t>
      </w:r>
    </w:p>
    <w:p w14:paraId="005A9ABE" w14:textId="3061A108" w:rsidR="002373AB" w:rsidRPr="00E62E6A" w:rsidRDefault="00E62E6A" w:rsidP="007D30EA">
      <w:pPr>
        <w:ind w:left="720" w:right="720"/>
        <w:jc w:val="both"/>
        <w:rPr>
          <w:rFonts w:ascii="Times New Roman" w:hAnsi="Times New Roman" w:cs="Times New Roman"/>
          <w:color w:val="000000" w:themeColor="text1"/>
        </w:rPr>
      </w:pPr>
      <w:r w:rsidRPr="00E62E6A">
        <w:rPr>
          <w:rFonts w:ascii="Times New Roman" w:hAnsi="Times New Roman" w:cs="Times New Roman"/>
          <w:color w:val="000000" w:themeColor="text1"/>
        </w:rPr>
        <w:t>the crimes were committed by a State Party national, or in the territory of a State Party, or in a State that has accepted the jurisdiction of the Court; or</w:t>
      </w:r>
      <w:r>
        <w:rPr>
          <w:rFonts w:ascii="Times New Roman" w:hAnsi="Times New Roman" w:cs="Times New Roman"/>
          <w:color w:val="000000" w:themeColor="text1"/>
        </w:rPr>
        <w:t xml:space="preserve"> </w:t>
      </w:r>
      <w:r w:rsidRPr="00E62E6A">
        <w:rPr>
          <w:rFonts w:ascii="Times New Roman" w:hAnsi="Times New Roman" w:cs="Times New Roman"/>
          <w:color w:val="000000" w:themeColor="text1"/>
        </w:rPr>
        <w:t xml:space="preserve">the crimes were referred to the ICC Prosecutor by the United Nations Security Council pursuant to a resolution adopted under chapter VII of the </w:t>
      </w:r>
      <w:r w:rsidR="00607BBD">
        <w:rPr>
          <w:rFonts w:ascii="Times New Roman" w:hAnsi="Times New Roman" w:cs="Times New Roman"/>
          <w:color w:val="000000" w:themeColor="text1"/>
        </w:rPr>
        <w:t>U.N.</w:t>
      </w:r>
      <w:r w:rsidRPr="00E62E6A">
        <w:rPr>
          <w:rFonts w:ascii="Times New Roman" w:hAnsi="Times New Roman" w:cs="Times New Roman"/>
          <w:color w:val="000000" w:themeColor="text1"/>
        </w:rPr>
        <w:t xml:space="preserve"> charter.</w:t>
      </w:r>
      <w:r>
        <w:rPr>
          <w:rStyle w:val="FootnoteReference"/>
          <w:rFonts w:ascii="Times New Roman" w:hAnsi="Times New Roman" w:cs="Times New Roman"/>
          <w:color w:val="000000" w:themeColor="text1"/>
        </w:rPr>
        <w:footnoteReference w:id="82"/>
      </w:r>
    </w:p>
    <w:p w14:paraId="778E288B" w14:textId="3E517B18" w:rsidR="009A789E" w:rsidRDefault="00DB1BC2" w:rsidP="006009D2">
      <w:pPr>
        <w:jc w:val="both"/>
        <w:rPr>
          <w:rFonts w:ascii="Times New Roman" w:hAnsi="Times New Roman" w:cs="Times New Roman"/>
          <w:color w:val="000000" w:themeColor="text1"/>
        </w:rPr>
      </w:pPr>
      <w:r>
        <w:rPr>
          <w:rFonts w:ascii="Times New Roman" w:hAnsi="Times New Roman" w:cs="Times New Roman"/>
          <w:color w:val="000000" w:themeColor="text1"/>
        </w:rPr>
        <w:t>T</w:t>
      </w:r>
      <w:r w:rsidR="00C055EF">
        <w:rPr>
          <w:rFonts w:ascii="Times New Roman" w:hAnsi="Times New Roman" w:cs="Times New Roman"/>
          <w:color w:val="000000" w:themeColor="text1"/>
        </w:rPr>
        <w:t>his means that t</w:t>
      </w:r>
      <w:r>
        <w:rPr>
          <w:rFonts w:ascii="Times New Roman" w:hAnsi="Times New Roman" w:cs="Times New Roman"/>
          <w:color w:val="000000" w:themeColor="text1"/>
        </w:rPr>
        <w:t xml:space="preserve">he </w:t>
      </w:r>
      <w:r w:rsidR="00CF3C10">
        <w:rPr>
          <w:rFonts w:ascii="Times New Roman" w:hAnsi="Times New Roman" w:cs="Times New Roman"/>
          <w:color w:val="000000" w:themeColor="text1"/>
        </w:rPr>
        <w:t>ICC’s primary means of gaining jurisdiction over an offender is</w:t>
      </w:r>
      <w:r w:rsidR="00A407D7">
        <w:rPr>
          <w:rFonts w:ascii="Times New Roman" w:hAnsi="Times New Roman" w:cs="Times New Roman"/>
          <w:color w:val="000000" w:themeColor="text1"/>
        </w:rPr>
        <w:t xml:space="preserve"> state</w:t>
      </w:r>
      <w:r w:rsidR="00CF3C10">
        <w:rPr>
          <w:rFonts w:ascii="Times New Roman" w:hAnsi="Times New Roman" w:cs="Times New Roman"/>
          <w:color w:val="000000" w:themeColor="text1"/>
        </w:rPr>
        <w:t xml:space="preserve"> consent</w:t>
      </w:r>
      <w:r w:rsidR="00484E76">
        <w:rPr>
          <w:rFonts w:ascii="Times New Roman" w:hAnsi="Times New Roman" w:cs="Times New Roman"/>
          <w:color w:val="000000" w:themeColor="text1"/>
        </w:rPr>
        <w:t xml:space="preserve"> via ratification</w:t>
      </w:r>
      <w:r w:rsidR="00CF3C10">
        <w:rPr>
          <w:rFonts w:ascii="Times New Roman" w:hAnsi="Times New Roman" w:cs="Times New Roman"/>
          <w:color w:val="000000" w:themeColor="text1"/>
        </w:rPr>
        <w:t>.</w:t>
      </w:r>
      <w:r w:rsidR="0069335C">
        <w:rPr>
          <w:rStyle w:val="FootnoteReference"/>
          <w:rFonts w:ascii="Times New Roman" w:hAnsi="Times New Roman" w:cs="Times New Roman"/>
          <w:color w:val="000000" w:themeColor="text1"/>
        </w:rPr>
        <w:footnoteReference w:id="83"/>
      </w:r>
      <w:r w:rsidR="00E72502">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Certain states </w:t>
      </w:r>
      <w:r w:rsidR="00484E76">
        <w:rPr>
          <w:rFonts w:ascii="Times New Roman" w:hAnsi="Times New Roman" w:cs="Times New Roman"/>
          <w:color w:val="000000" w:themeColor="text1"/>
        </w:rPr>
        <w:t xml:space="preserve">involved in the development of the Court </w:t>
      </w:r>
      <w:r>
        <w:rPr>
          <w:rFonts w:ascii="Times New Roman" w:hAnsi="Times New Roman" w:cs="Times New Roman"/>
          <w:color w:val="000000" w:themeColor="text1"/>
        </w:rPr>
        <w:t>have actively refused to consent to the jurisdiction of the ICC.</w:t>
      </w:r>
      <w:r w:rsidR="00A407D7">
        <w:rPr>
          <w:rStyle w:val="FootnoteReference"/>
          <w:rFonts w:ascii="Times New Roman" w:hAnsi="Times New Roman" w:cs="Times New Roman"/>
          <w:color w:val="000000" w:themeColor="text1"/>
        </w:rPr>
        <w:footnoteReference w:id="84"/>
      </w:r>
      <w:r w:rsidR="00E72502">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For example, </w:t>
      </w:r>
      <w:r w:rsidR="00484E76">
        <w:rPr>
          <w:rFonts w:ascii="Times New Roman" w:hAnsi="Times New Roman" w:cs="Times New Roman"/>
          <w:color w:val="000000" w:themeColor="text1"/>
        </w:rPr>
        <w:t xml:space="preserve">after signing the treaty, </w:t>
      </w:r>
      <w:r>
        <w:rPr>
          <w:rFonts w:ascii="Times New Roman" w:hAnsi="Times New Roman" w:cs="Times New Roman"/>
          <w:color w:val="000000" w:themeColor="text1"/>
        </w:rPr>
        <w:t xml:space="preserve">the United States has not only issued a statement </w:t>
      </w:r>
      <w:r>
        <w:rPr>
          <w:rFonts w:ascii="Times New Roman" w:hAnsi="Times New Roman" w:cs="Times New Roman"/>
          <w:color w:val="000000" w:themeColor="text1"/>
        </w:rPr>
        <w:lastRenderedPageBreak/>
        <w:t>declarin</w:t>
      </w:r>
      <w:r w:rsidR="00CF3C10">
        <w:rPr>
          <w:rFonts w:ascii="Times New Roman" w:hAnsi="Times New Roman" w:cs="Times New Roman"/>
          <w:color w:val="000000" w:themeColor="text1"/>
        </w:rPr>
        <w:t xml:space="preserve">g its refusal to consent to the jurisdiction of the court, but it has concluded agreements with other states </w:t>
      </w:r>
      <w:r w:rsidR="00C7791A">
        <w:rPr>
          <w:rFonts w:ascii="Times New Roman" w:hAnsi="Times New Roman" w:cs="Times New Roman"/>
          <w:color w:val="000000" w:themeColor="text1"/>
        </w:rPr>
        <w:t xml:space="preserve">affirming that said states will not </w:t>
      </w:r>
      <w:r w:rsidR="00A407D7">
        <w:rPr>
          <w:rFonts w:ascii="Times New Roman" w:hAnsi="Times New Roman" w:cs="Times New Roman"/>
          <w:color w:val="000000" w:themeColor="text1"/>
        </w:rPr>
        <w:t>turn in U.S. nationals for</w:t>
      </w:r>
      <w:r w:rsidR="005425D6">
        <w:rPr>
          <w:rFonts w:ascii="Times New Roman" w:hAnsi="Times New Roman" w:cs="Times New Roman"/>
          <w:color w:val="000000" w:themeColor="text1"/>
        </w:rPr>
        <w:t xml:space="preserve"> prosecution by the C</w:t>
      </w:r>
      <w:r w:rsidR="00A407D7">
        <w:rPr>
          <w:rFonts w:ascii="Times New Roman" w:hAnsi="Times New Roman" w:cs="Times New Roman"/>
          <w:color w:val="000000" w:themeColor="text1"/>
        </w:rPr>
        <w:t>ourt.</w:t>
      </w:r>
      <w:r w:rsidR="00832C58">
        <w:rPr>
          <w:rStyle w:val="FootnoteReference"/>
          <w:rFonts w:ascii="Times New Roman" w:hAnsi="Times New Roman" w:cs="Times New Roman"/>
          <w:color w:val="000000" w:themeColor="text1"/>
        </w:rPr>
        <w:footnoteReference w:id="85"/>
      </w:r>
      <w:r w:rsidR="00647004">
        <w:rPr>
          <w:rFonts w:ascii="Times New Roman" w:hAnsi="Times New Roman" w:cs="Times New Roman"/>
          <w:color w:val="000000" w:themeColor="text1"/>
        </w:rPr>
        <w:t xml:space="preserve">  This imposes a limit on the power of the ICC</w:t>
      </w:r>
      <w:r w:rsidR="00105584">
        <w:rPr>
          <w:rFonts w:ascii="Times New Roman" w:hAnsi="Times New Roman" w:cs="Times New Roman"/>
          <w:color w:val="000000" w:themeColor="text1"/>
        </w:rPr>
        <w:t>, because these types of agreements are contrary to the Court’s object and purpose</w:t>
      </w:r>
      <w:r w:rsidR="00BC2E1E">
        <w:rPr>
          <w:rFonts w:ascii="Times New Roman" w:hAnsi="Times New Roman" w:cs="Times New Roman"/>
          <w:color w:val="000000" w:themeColor="text1"/>
        </w:rPr>
        <w:t xml:space="preserve">.  </w:t>
      </w:r>
      <w:r w:rsidR="00105584">
        <w:rPr>
          <w:rFonts w:ascii="Times New Roman" w:hAnsi="Times New Roman" w:cs="Times New Roman"/>
          <w:color w:val="000000" w:themeColor="text1"/>
        </w:rPr>
        <w:t xml:space="preserve">As such, </w:t>
      </w:r>
      <w:r w:rsidR="00A53374">
        <w:rPr>
          <w:rFonts w:ascii="Times New Roman" w:hAnsi="Times New Roman" w:cs="Times New Roman"/>
          <w:color w:val="000000" w:themeColor="text1"/>
        </w:rPr>
        <w:t>its capacity to act as an effective atrocity prevention mechanism is diminished.</w:t>
      </w:r>
    </w:p>
    <w:p w14:paraId="5932BABF" w14:textId="011364B2" w:rsidR="00E920BA" w:rsidRDefault="00763D3B" w:rsidP="006009D2">
      <w:pPr>
        <w:ind w:firstLine="720"/>
        <w:jc w:val="both"/>
        <w:rPr>
          <w:rFonts w:ascii="Times New Roman" w:hAnsi="Times New Roman" w:cs="Times New Roman"/>
          <w:color w:val="000000" w:themeColor="text1"/>
        </w:rPr>
      </w:pPr>
      <w:r>
        <w:rPr>
          <w:rFonts w:ascii="Times New Roman" w:hAnsi="Times New Roman" w:cs="Times New Roman"/>
          <w:color w:val="000000" w:themeColor="text1"/>
        </w:rPr>
        <w:t>Despite</w:t>
      </w:r>
      <w:r w:rsidR="00E72502">
        <w:rPr>
          <w:rFonts w:ascii="Times New Roman" w:hAnsi="Times New Roman" w:cs="Times New Roman"/>
          <w:color w:val="000000" w:themeColor="text1"/>
        </w:rPr>
        <w:t xml:space="preserve"> the fact that states must opt-</w:t>
      </w:r>
      <w:r w:rsidR="00C055EF">
        <w:rPr>
          <w:rFonts w:ascii="Times New Roman" w:hAnsi="Times New Roman" w:cs="Times New Roman"/>
          <w:color w:val="000000" w:themeColor="text1"/>
        </w:rPr>
        <w:t xml:space="preserve">in to </w:t>
      </w:r>
      <w:r w:rsidR="00105584">
        <w:rPr>
          <w:rFonts w:ascii="Times New Roman" w:hAnsi="Times New Roman" w:cs="Times New Roman"/>
          <w:color w:val="000000" w:themeColor="text1"/>
        </w:rPr>
        <w:t>the ICC’s jurisdiction, the C</w:t>
      </w:r>
      <w:r>
        <w:rPr>
          <w:rFonts w:ascii="Times New Roman" w:hAnsi="Times New Roman" w:cs="Times New Roman"/>
          <w:color w:val="000000" w:themeColor="text1"/>
        </w:rPr>
        <w:t>ourt ha</w:t>
      </w:r>
      <w:r w:rsidR="006B1092">
        <w:rPr>
          <w:rFonts w:ascii="Times New Roman" w:hAnsi="Times New Roman" w:cs="Times New Roman"/>
          <w:color w:val="000000" w:themeColor="text1"/>
        </w:rPr>
        <w:t>s</w:t>
      </w:r>
      <w:r w:rsidR="00E72502">
        <w:rPr>
          <w:rFonts w:ascii="Times New Roman" w:hAnsi="Times New Roman" w:cs="Times New Roman"/>
          <w:color w:val="000000" w:themeColor="text1"/>
        </w:rPr>
        <w:t xml:space="preserve"> had a fair amount of success.  </w:t>
      </w:r>
      <w:r>
        <w:rPr>
          <w:rFonts w:ascii="Times New Roman" w:hAnsi="Times New Roman" w:cs="Times New Roman"/>
          <w:color w:val="000000" w:themeColor="text1"/>
        </w:rPr>
        <w:t xml:space="preserve">To date, the Rome Statute has </w:t>
      </w:r>
      <w:r w:rsidR="00F666C1">
        <w:rPr>
          <w:rFonts w:ascii="Times New Roman" w:hAnsi="Times New Roman" w:cs="Times New Roman"/>
          <w:color w:val="000000" w:themeColor="text1"/>
        </w:rPr>
        <w:t>124 states parties,</w:t>
      </w:r>
      <w:r w:rsidR="00F666C1">
        <w:rPr>
          <w:rStyle w:val="FootnoteReference"/>
          <w:rFonts w:ascii="Times New Roman" w:hAnsi="Times New Roman" w:cs="Times New Roman"/>
          <w:color w:val="000000" w:themeColor="text1"/>
        </w:rPr>
        <w:footnoteReference w:id="86"/>
      </w:r>
      <w:r w:rsidR="00F666C1">
        <w:rPr>
          <w:rFonts w:ascii="Times New Roman" w:hAnsi="Times New Roman" w:cs="Times New Roman"/>
          <w:color w:val="000000" w:themeColor="text1"/>
        </w:rPr>
        <w:t xml:space="preserve"> and has commenced proceedings against individuals from </w:t>
      </w:r>
      <w:r w:rsidR="00CA6605">
        <w:rPr>
          <w:rFonts w:ascii="Times New Roman" w:hAnsi="Times New Roman" w:cs="Times New Roman"/>
          <w:color w:val="000000" w:themeColor="text1"/>
        </w:rPr>
        <w:t xml:space="preserve">multiple countries, including </w:t>
      </w:r>
      <w:r w:rsidR="00F666C1">
        <w:rPr>
          <w:rFonts w:ascii="Times New Roman" w:hAnsi="Times New Roman" w:cs="Times New Roman"/>
          <w:color w:val="000000" w:themeColor="text1"/>
        </w:rPr>
        <w:t>Kenya, Uganda,</w:t>
      </w:r>
      <w:r w:rsidR="00872871">
        <w:rPr>
          <w:rFonts w:ascii="Times New Roman" w:hAnsi="Times New Roman" w:cs="Times New Roman"/>
          <w:color w:val="000000" w:themeColor="text1"/>
        </w:rPr>
        <w:t xml:space="preserve"> Mali, C</w:t>
      </w:r>
      <w:r w:rsidR="00872871" w:rsidRPr="00872871">
        <w:rPr>
          <w:rFonts w:ascii="Times New Roman" w:eastAsia="Times New Roman" w:hAnsi="Times New Roman" w:cs="Times New Roman"/>
          <w:bCs/>
          <w:color w:val="333333"/>
          <w:shd w:val="clear" w:color="auto" w:fill="FFFFFF"/>
        </w:rPr>
        <w:t>ô</w:t>
      </w:r>
      <w:r w:rsidR="00872871">
        <w:rPr>
          <w:rFonts w:ascii="Times New Roman" w:hAnsi="Times New Roman" w:cs="Times New Roman"/>
          <w:color w:val="000000" w:themeColor="text1"/>
        </w:rPr>
        <w:t>te d’</w:t>
      </w:r>
      <w:r w:rsidR="00F666C1">
        <w:rPr>
          <w:rFonts w:ascii="Times New Roman" w:hAnsi="Times New Roman" w:cs="Times New Roman"/>
          <w:color w:val="000000" w:themeColor="text1"/>
        </w:rPr>
        <w:t>Ivoire,</w:t>
      </w:r>
      <w:r w:rsidR="00FC4311">
        <w:rPr>
          <w:rFonts w:ascii="Times New Roman" w:hAnsi="Times New Roman" w:cs="Times New Roman"/>
          <w:color w:val="000000" w:themeColor="text1"/>
        </w:rPr>
        <w:t xml:space="preserve"> </w:t>
      </w:r>
      <w:r w:rsidR="00365FEB">
        <w:rPr>
          <w:rFonts w:ascii="Times New Roman" w:hAnsi="Times New Roman" w:cs="Times New Roman"/>
          <w:color w:val="000000" w:themeColor="text1"/>
        </w:rPr>
        <w:t xml:space="preserve">and </w:t>
      </w:r>
      <w:r w:rsidR="00FC4311">
        <w:rPr>
          <w:rFonts w:ascii="Times New Roman" w:hAnsi="Times New Roman" w:cs="Times New Roman"/>
          <w:color w:val="000000" w:themeColor="text1"/>
        </w:rPr>
        <w:t>Libya.</w:t>
      </w:r>
      <w:r w:rsidR="00FC4311">
        <w:rPr>
          <w:rStyle w:val="FootnoteReference"/>
          <w:rFonts w:ascii="Times New Roman" w:hAnsi="Times New Roman" w:cs="Times New Roman"/>
          <w:color w:val="000000" w:themeColor="text1"/>
        </w:rPr>
        <w:footnoteReference w:id="87"/>
      </w:r>
      <w:r w:rsidR="00E72502">
        <w:rPr>
          <w:rFonts w:ascii="Times New Roman" w:hAnsi="Times New Roman" w:cs="Times New Roman"/>
          <w:color w:val="000000" w:themeColor="text1"/>
        </w:rPr>
        <w:t xml:space="preserve">  </w:t>
      </w:r>
      <w:r w:rsidR="008E31D1">
        <w:rPr>
          <w:rFonts w:ascii="Times New Roman" w:hAnsi="Times New Roman" w:cs="Times New Roman"/>
          <w:color w:val="000000" w:themeColor="text1"/>
        </w:rPr>
        <w:t>Proceedings at the ICC contain many</w:t>
      </w:r>
      <w:r w:rsidR="00AE0A40">
        <w:rPr>
          <w:rFonts w:ascii="Times New Roman" w:hAnsi="Times New Roman" w:cs="Times New Roman"/>
          <w:color w:val="000000" w:themeColor="text1"/>
        </w:rPr>
        <w:t xml:space="preserve"> phases, including Preliminary Examin</w:t>
      </w:r>
      <w:r w:rsidR="007B4EC9">
        <w:rPr>
          <w:rFonts w:ascii="Times New Roman" w:hAnsi="Times New Roman" w:cs="Times New Roman"/>
          <w:color w:val="000000" w:themeColor="text1"/>
        </w:rPr>
        <w:t>ations, Investigations, and Pre-</w:t>
      </w:r>
      <w:r w:rsidR="00592888">
        <w:rPr>
          <w:rFonts w:ascii="Times New Roman" w:hAnsi="Times New Roman" w:cs="Times New Roman"/>
          <w:color w:val="000000" w:themeColor="text1"/>
        </w:rPr>
        <w:t>trial.</w:t>
      </w:r>
      <w:r w:rsidR="0039156F">
        <w:rPr>
          <w:rStyle w:val="FootnoteReference"/>
          <w:rFonts w:ascii="Times New Roman" w:hAnsi="Times New Roman" w:cs="Times New Roman"/>
          <w:color w:val="000000" w:themeColor="text1"/>
        </w:rPr>
        <w:footnoteReference w:id="88"/>
      </w:r>
      <w:r w:rsidR="00E72502">
        <w:rPr>
          <w:rFonts w:ascii="Times New Roman" w:hAnsi="Times New Roman" w:cs="Times New Roman"/>
          <w:color w:val="000000" w:themeColor="text1"/>
        </w:rPr>
        <w:t xml:space="preserve">  </w:t>
      </w:r>
      <w:r w:rsidR="00105584">
        <w:rPr>
          <w:rFonts w:ascii="Times New Roman" w:hAnsi="Times New Roman" w:cs="Times New Roman"/>
          <w:color w:val="000000" w:themeColor="text1"/>
        </w:rPr>
        <w:t>The C</w:t>
      </w:r>
      <w:r w:rsidR="00B16590">
        <w:rPr>
          <w:rFonts w:ascii="Times New Roman" w:hAnsi="Times New Roman" w:cs="Times New Roman"/>
          <w:color w:val="000000" w:themeColor="text1"/>
        </w:rPr>
        <w:t xml:space="preserve">ourt </w:t>
      </w:r>
      <w:r w:rsidR="00105584" w:rsidRPr="00105584">
        <w:rPr>
          <w:rFonts w:ascii="Times New Roman" w:hAnsi="Times New Roman" w:cs="Times New Roman"/>
          <w:color w:val="000000" w:themeColor="text1"/>
        </w:rPr>
        <w:t>examines the evidence to see whether there is cause to move forward, and then the court evaluates the evidence in pre-trial/indict</w:t>
      </w:r>
      <w:r w:rsidR="00105584">
        <w:rPr>
          <w:rFonts w:ascii="Times New Roman" w:hAnsi="Times New Roman" w:cs="Times New Roman"/>
          <w:color w:val="000000" w:themeColor="text1"/>
        </w:rPr>
        <w:t xml:space="preserve">ment, and then later at </w:t>
      </w:r>
      <w:r w:rsidR="00D6668A">
        <w:rPr>
          <w:rFonts w:ascii="Times New Roman" w:hAnsi="Times New Roman" w:cs="Times New Roman"/>
          <w:color w:val="000000" w:themeColor="text1"/>
        </w:rPr>
        <w:t xml:space="preserve">full </w:t>
      </w:r>
      <w:r w:rsidR="00105584">
        <w:rPr>
          <w:rFonts w:ascii="Times New Roman" w:hAnsi="Times New Roman" w:cs="Times New Roman"/>
          <w:color w:val="000000" w:themeColor="text1"/>
        </w:rPr>
        <w:t>trial.</w:t>
      </w:r>
      <w:r w:rsidR="00105584">
        <w:rPr>
          <w:rStyle w:val="FootnoteReference"/>
          <w:rFonts w:ascii="Times New Roman" w:hAnsi="Times New Roman" w:cs="Times New Roman"/>
          <w:color w:val="000000" w:themeColor="text1"/>
        </w:rPr>
        <w:footnoteReference w:id="89"/>
      </w:r>
      <w:r w:rsidR="00105584">
        <w:rPr>
          <w:rFonts w:ascii="Times New Roman" w:hAnsi="Times New Roman" w:cs="Times New Roman"/>
          <w:color w:val="000000" w:themeColor="text1"/>
        </w:rPr>
        <w:t xml:space="preserve">  </w:t>
      </w:r>
      <w:r w:rsidR="00C055EF">
        <w:rPr>
          <w:rFonts w:ascii="Times New Roman" w:hAnsi="Times New Roman" w:cs="Times New Roman"/>
          <w:color w:val="000000" w:themeColor="text1"/>
        </w:rPr>
        <w:t xml:space="preserve">A key aspect of the ICC’s proceedings is the reparations stage, in which the convicted perpetrator is obligated to make reparations to the affected population in </w:t>
      </w:r>
      <w:r w:rsidR="005F2EF2">
        <w:rPr>
          <w:rFonts w:ascii="Times New Roman" w:hAnsi="Times New Roman" w:cs="Times New Roman"/>
          <w:color w:val="000000" w:themeColor="text1"/>
        </w:rPr>
        <w:t xml:space="preserve">a </w:t>
      </w:r>
      <w:r w:rsidR="00105584">
        <w:rPr>
          <w:rFonts w:ascii="Times New Roman" w:hAnsi="Times New Roman" w:cs="Times New Roman"/>
          <w:color w:val="000000" w:themeColor="text1"/>
        </w:rPr>
        <w:t>manner determined by the C</w:t>
      </w:r>
      <w:r w:rsidR="00C055EF">
        <w:rPr>
          <w:rFonts w:ascii="Times New Roman" w:hAnsi="Times New Roman" w:cs="Times New Roman"/>
          <w:color w:val="000000" w:themeColor="text1"/>
        </w:rPr>
        <w:t>ourt.</w:t>
      </w:r>
      <w:r w:rsidR="00C055EF">
        <w:rPr>
          <w:rStyle w:val="FootnoteReference"/>
          <w:rFonts w:ascii="Times New Roman" w:hAnsi="Times New Roman" w:cs="Times New Roman"/>
          <w:color w:val="000000" w:themeColor="text1"/>
        </w:rPr>
        <w:footnoteReference w:id="90"/>
      </w:r>
      <w:r w:rsidR="00E72502">
        <w:rPr>
          <w:rFonts w:ascii="Times New Roman" w:hAnsi="Times New Roman" w:cs="Times New Roman"/>
          <w:color w:val="000000" w:themeColor="text1"/>
        </w:rPr>
        <w:t xml:space="preserve">  </w:t>
      </w:r>
      <w:r w:rsidR="00E56632">
        <w:rPr>
          <w:rFonts w:ascii="Times New Roman" w:hAnsi="Times New Roman" w:cs="Times New Roman"/>
          <w:color w:val="000000" w:themeColor="text1"/>
        </w:rPr>
        <w:t xml:space="preserve">Although the ICC </w:t>
      </w:r>
      <w:r w:rsidR="00BC0A6D">
        <w:rPr>
          <w:rFonts w:ascii="Times New Roman" w:hAnsi="Times New Roman" w:cs="Times New Roman"/>
          <w:color w:val="000000" w:themeColor="text1"/>
        </w:rPr>
        <w:t xml:space="preserve">has made efforts to </w:t>
      </w:r>
      <w:r w:rsidR="000727DC">
        <w:rPr>
          <w:rFonts w:ascii="Times New Roman" w:hAnsi="Times New Roman" w:cs="Times New Roman"/>
          <w:color w:val="000000" w:themeColor="text1"/>
        </w:rPr>
        <w:t>remain impartial, one major critic</w:t>
      </w:r>
      <w:r w:rsidR="00044F8A">
        <w:rPr>
          <w:rFonts w:ascii="Times New Roman" w:hAnsi="Times New Roman" w:cs="Times New Roman"/>
          <w:color w:val="000000" w:themeColor="text1"/>
        </w:rPr>
        <w:t>ism of the court is that the majority of the cases they take on</w:t>
      </w:r>
      <w:r w:rsidR="00BE698D">
        <w:rPr>
          <w:rFonts w:ascii="Times New Roman" w:hAnsi="Times New Roman" w:cs="Times New Roman"/>
          <w:color w:val="000000" w:themeColor="text1"/>
        </w:rPr>
        <w:t xml:space="preserve"> </w:t>
      </w:r>
      <w:r w:rsidR="00044F8A">
        <w:rPr>
          <w:rFonts w:ascii="Times New Roman" w:hAnsi="Times New Roman" w:cs="Times New Roman"/>
          <w:color w:val="000000" w:themeColor="text1"/>
        </w:rPr>
        <w:t>are in African states</w:t>
      </w:r>
      <w:r w:rsidR="00467A9B">
        <w:rPr>
          <w:rFonts w:ascii="Times New Roman" w:hAnsi="Times New Roman" w:cs="Times New Roman"/>
          <w:color w:val="000000" w:themeColor="text1"/>
        </w:rPr>
        <w:t>;</w:t>
      </w:r>
      <w:r w:rsidR="00D91AA8">
        <w:rPr>
          <w:rStyle w:val="FootnoteReference"/>
          <w:rFonts w:ascii="Times New Roman" w:hAnsi="Times New Roman" w:cs="Times New Roman"/>
          <w:color w:val="000000" w:themeColor="text1"/>
        </w:rPr>
        <w:footnoteReference w:id="91"/>
      </w:r>
      <w:r w:rsidR="00467A9B">
        <w:rPr>
          <w:rFonts w:ascii="Times New Roman" w:hAnsi="Times New Roman" w:cs="Times New Roman"/>
          <w:color w:val="000000" w:themeColor="text1"/>
        </w:rPr>
        <w:t xml:space="preserve"> </w:t>
      </w:r>
      <w:r w:rsidR="005F2EF2">
        <w:rPr>
          <w:rFonts w:ascii="Times New Roman" w:hAnsi="Times New Roman" w:cs="Times New Roman"/>
          <w:color w:val="000000" w:themeColor="text1"/>
        </w:rPr>
        <w:t>in fact, South Africa</w:t>
      </w:r>
      <w:r w:rsidR="00F10FA5">
        <w:rPr>
          <w:rFonts w:ascii="Times New Roman" w:hAnsi="Times New Roman" w:cs="Times New Roman"/>
          <w:color w:val="000000" w:themeColor="text1"/>
        </w:rPr>
        <w:t>, Burundi, and Gambia have</w:t>
      </w:r>
      <w:r w:rsidR="00571FD6">
        <w:rPr>
          <w:rFonts w:ascii="Times New Roman" w:hAnsi="Times New Roman" w:cs="Times New Roman"/>
          <w:color w:val="000000" w:themeColor="text1"/>
        </w:rPr>
        <w:t xml:space="preserve"> chosen to withdraw </w:t>
      </w:r>
      <w:r w:rsidR="00D91AA8">
        <w:rPr>
          <w:rFonts w:ascii="Times New Roman" w:hAnsi="Times New Roman" w:cs="Times New Roman"/>
          <w:color w:val="000000" w:themeColor="text1"/>
        </w:rPr>
        <w:t>from the ICC over this perceived bias.</w:t>
      </w:r>
      <w:r w:rsidR="00AE6E58">
        <w:rPr>
          <w:rStyle w:val="FootnoteReference"/>
          <w:rFonts w:ascii="Times New Roman" w:hAnsi="Times New Roman" w:cs="Times New Roman"/>
          <w:color w:val="000000" w:themeColor="text1"/>
        </w:rPr>
        <w:footnoteReference w:id="92"/>
      </w:r>
    </w:p>
    <w:p w14:paraId="4BC98A26" w14:textId="2AE60E83" w:rsidR="00806803" w:rsidRDefault="00F03A58" w:rsidP="006009D2">
      <w:pPr>
        <w:ind w:firstLine="720"/>
        <w:jc w:val="both"/>
        <w:rPr>
          <w:rFonts w:ascii="Times New Roman" w:hAnsi="Times New Roman" w:cs="Times New Roman"/>
          <w:color w:val="000000" w:themeColor="text1"/>
        </w:rPr>
      </w:pPr>
      <w:r>
        <w:rPr>
          <w:rFonts w:ascii="Times New Roman" w:hAnsi="Times New Roman" w:cs="Times New Roman"/>
          <w:color w:val="000000" w:themeColor="text1"/>
        </w:rPr>
        <w:t>In addition to the creation of the ICC, other attempts at strengthening atrocity prevention began to take shape in the early 2000s</w:t>
      </w:r>
      <w:r w:rsidR="00E72502">
        <w:rPr>
          <w:rFonts w:ascii="Times New Roman" w:hAnsi="Times New Roman" w:cs="Times New Roman"/>
          <w:color w:val="000000" w:themeColor="text1"/>
        </w:rPr>
        <w:t xml:space="preserve">.  </w:t>
      </w:r>
      <w:r w:rsidR="00645060">
        <w:rPr>
          <w:rFonts w:ascii="Times New Roman" w:hAnsi="Times New Roman" w:cs="Times New Roman"/>
          <w:color w:val="000000" w:themeColor="text1"/>
        </w:rPr>
        <w:t xml:space="preserve">In December 2001, the International Commission on </w:t>
      </w:r>
      <w:r w:rsidR="00645060">
        <w:rPr>
          <w:rFonts w:ascii="Times New Roman" w:hAnsi="Times New Roman" w:cs="Times New Roman"/>
          <w:color w:val="000000" w:themeColor="text1"/>
        </w:rPr>
        <w:lastRenderedPageBreak/>
        <w:t xml:space="preserve">Intervention and State Sovereignty </w:t>
      </w:r>
      <w:r w:rsidR="004203E2">
        <w:rPr>
          <w:rFonts w:ascii="Times New Roman" w:hAnsi="Times New Roman" w:cs="Times New Roman"/>
          <w:color w:val="000000" w:themeColor="text1"/>
        </w:rPr>
        <w:t>(</w:t>
      </w:r>
      <w:r w:rsidR="00E21A31">
        <w:rPr>
          <w:rFonts w:ascii="Times New Roman" w:hAnsi="Times New Roman" w:cs="Times New Roman"/>
          <w:color w:val="000000" w:themeColor="text1"/>
        </w:rPr>
        <w:t>“</w:t>
      </w:r>
      <w:r w:rsidR="004203E2">
        <w:rPr>
          <w:rFonts w:ascii="Times New Roman" w:hAnsi="Times New Roman" w:cs="Times New Roman"/>
          <w:color w:val="000000" w:themeColor="text1"/>
        </w:rPr>
        <w:t>ICISS</w:t>
      </w:r>
      <w:r w:rsidR="00E21A31">
        <w:rPr>
          <w:rFonts w:ascii="Times New Roman" w:hAnsi="Times New Roman" w:cs="Times New Roman"/>
          <w:color w:val="000000" w:themeColor="text1"/>
        </w:rPr>
        <w:t>”</w:t>
      </w:r>
      <w:r w:rsidR="004203E2">
        <w:rPr>
          <w:rFonts w:ascii="Times New Roman" w:hAnsi="Times New Roman" w:cs="Times New Roman"/>
          <w:color w:val="000000" w:themeColor="text1"/>
        </w:rPr>
        <w:t xml:space="preserve">) </w:t>
      </w:r>
      <w:r w:rsidR="00645060">
        <w:rPr>
          <w:rFonts w:ascii="Times New Roman" w:hAnsi="Times New Roman" w:cs="Times New Roman"/>
          <w:color w:val="000000" w:themeColor="text1"/>
        </w:rPr>
        <w:t>published a report entitled “The Responsibility to Protect.”</w:t>
      </w:r>
      <w:r w:rsidR="00527533">
        <w:rPr>
          <w:rStyle w:val="FootnoteReference"/>
          <w:rFonts w:ascii="Times New Roman" w:hAnsi="Times New Roman" w:cs="Times New Roman"/>
          <w:color w:val="000000" w:themeColor="text1"/>
        </w:rPr>
        <w:footnoteReference w:id="93"/>
      </w:r>
      <w:r w:rsidR="00E72502">
        <w:rPr>
          <w:rFonts w:ascii="Times New Roman" w:hAnsi="Times New Roman" w:cs="Times New Roman"/>
          <w:color w:val="000000" w:themeColor="text1"/>
        </w:rPr>
        <w:t xml:space="preserve">  </w:t>
      </w:r>
      <w:r w:rsidR="004203E2">
        <w:rPr>
          <w:rFonts w:ascii="Times New Roman" w:hAnsi="Times New Roman" w:cs="Times New Roman"/>
          <w:color w:val="000000" w:themeColor="text1"/>
        </w:rPr>
        <w:t>The ICISS wrote the report in response to the NATO intervention in Kosovo in 1999</w:t>
      </w:r>
      <w:r w:rsidR="00FF0D7C">
        <w:rPr>
          <w:rFonts w:ascii="Times New Roman" w:hAnsi="Times New Roman" w:cs="Times New Roman"/>
          <w:color w:val="000000" w:themeColor="text1"/>
        </w:rPr>
        <w:t>, and the failure of the international community to intervene in Rwanda in 1994</w:t>
      </w:r>
      <w:r w:rsidR="004203E2">
        <w:rPr>
          <w:rFonts w:ascii="Times New Roman" w:hAnsi="Times New Roman" w:cs="Times New Roman"/>
          <w:color w:val="000000" w:themeColor="text1"/>
        </w:rPr>
        <w:t>.</w:t>
      </w:r>
      <w:r w:rsidR="004203E2">
        <w:rPr>
          <w:rStyle w:val="FootnoteReference"/>
          <w:rFonts w:ascii="Times New Roman" w:hAnsi="Times New Roman" w:cs="Times New Roman"/>
          <w:color w:val="000000" w:themeColor="text1"/>
        </w:rPr>
        <w:footnoteReference w:id="94"/>
      </w:r>
      <w:r w:rsidR="00E72502">
        <w:rPr>
          <w:rFonts w:ascii="Times New Roman" w:hAnsi="Times New Roman" w:cs="Times New Roman"/>
          <w:color w:val="000000" w:themeColor="text1"/>
        </w:rPr>
        <w:t xml:space="preserve">  </w:t>
      </w:r>
      <w:r w:rsidR="004203E2">
        <w:rPr>
          <w:rFonts w:ascii="Times New Roman" w:hAnsi="Times New Roman" w:cs="Times New Roman"/>
          <w:color w:val="000000" w:themeColor="text1"/>
        </w:rPr>
        <w:t>The international community was having a difficult time reconciling notions of sovereignty with the idea that certain acts, such as genocide and crimes against humanity, should be prevented at all costs.</w:t>
      </w:r>
      <w:r w:rsidR="003D44EE">
        <w:rPr>
          <w:rStyle w:val="FootnoteReference"/>
          <w:rFonts w:ascii="Times New Roman" w:hAnsi="Times New Roman" w:cs="Times New Roman"/>
          <w:color w:val="000000" w:themeColor="text1"/>
        </w:rPr>
        <w:footnoteReference w:id="95"/>
      </w:r>
      <w:r w:rsidR="00E72502">
        <w:rPr>
          <w:rFonts w:ascii="Times New Roman" w:hAnsi="Times New Roman" w:cs="Times New Roman"/>
          <w:color w:val="000000" w:themeColor="text1"/>
        </w:rPr>
        <w:t xml:space="preserve">  </w:t>
      </w:r>
      <w:r w:rsidR="003D44EE">
        <w:rPr>
          <w:rFonts w:ascii="Times New Roman" w:hAnsi="Times New Roman" w:cs="Times New Roman"/>
          <w:color w:val="000000" w:themeColor="text1"/>
        </w:rPr>
        <w:t>Many states viewed military intervention, such as the NATO intervention in Kosovo, as a threat to their sovereignty.</w:t>
      </w:r>
      <w:r w:rsidR="003D44EE">
        <w:rPr>
          <w:rStyle w:val="FootnoteReference"/>
          <w:rFonts w:ascii="Times New Roman" w:hAnsi="Times New Roman" w:cs="Times New Roman"/>
          <w:color w:val="000000" w:themeColor="text1"/>
        </w:rPr>
        <w:footnoteReference w:id="96"/>
      </w:r>
      <w:r w:rsidR="00E72502">
        <w:rPr>
          <w:rFonts w:ascii="Times New Roman" w:hAnsi="Times New Roman" w:cs="Times New Roman"/>
          <w:color w:val="000000" w:themeColor="text1"/>
        </w:rPr>
        <w:t xml:space="preserve">  </w:t>
      </w:r>
      <w:r w:rsidR="003D44EE">
        <w:rPr>
          <w:rFonts w:ascii="Times New Roman" w:hAnsi="Times New Roman" w:cs="Times New Roman"/>
          <w:color w:val="000000" w:themeColor="text1"/>
        </w:rPr>
        <w:t>However, other states viewed such intervention as a necessary facet of atrocity prevention.</w:t>
      </w:r>
      <w:r w:rsidR="003D44EE">
        <w:rPr>
          <w:rStyle w:val="FootnoteReference"/>
          <w:rFonts w:ascii="Times New Roman" w:hAnsi="Times New Roman" w:cs="Times New Roman"/>
          <w:color w:val="000000" w:themeColor="text1"/>
        </w:rPr>
        <w:footnoteReference w:id="97"/>
      </w:r>
      <w:r w:rsidR="00E72502">
        <w:rPr>
          <w:rFonts w:ascii="Times New Roman" w:hAnsi="Times New Roman" w:cs="Times New Roman"/>
          <w:color w:val="000000" w:themeColor="text1"/>
        </w:rPr>
        <w:t xml:space="preserve">  </w:t>
      </w:r>
      <w:r w:rsidR="009529ED">
        <w:rPr>
          <w:rFonts w:ascii="Times New Roman" w:hAnsi="Times New Roman" w:cs="Times New Roman"/>
          <w:color w:val="000000" w:themeColor="text1"/>
        </w:rPr>
        <w:t>The ICISS</w:t>
      </w:r>
      <w:r w:rsidR="00E920BA">
        <w:rPr>
          <w:rFonts w:ascii="Times New Roman" w:hAnsi="Times New Roman" w:cs="Times New Roman"/>
          <w:color w:val="000000" w:themeColor="text1"/>
        </w:rPr>
        <w:t xml:space="preserve"> report reconciles these concepts by arguing that</w:t>
      </w:r>
      <w:r w:rsidR="009529ED">
        <w:rPr>
          <w:rFonts w:ascii="Times New Roman" w:hAnsi="Times New Roman" w:cs="Times New Roman"/>
          <w:color w:val="000000" w:themeColor="text1"/>
        </w:rPr>
        <w:t xml:space="preserve"> protection of the </w:t>
      </w:r>
      <w:r w:rsidR="00E920BA">
        <w:rPr>
          <w:rFonts w:ascii="Times New Roman" w:hAnsi="Times New Roman" w:cs="Times New Roman"/>
          <w:color w:val="000000" w:themeColor="text1"/>
        </w:rPr>
        <w:t>civilian population is a crucial aspect of effective sovereign governance.</w:t>
      </w:r>
      <w:r w:rsidR="00E920BA">
        <w:rPr>
          <w:rStyle w:val="FootnoteReference"/>
          <w:rFonts w:ascii="Times New Roman" w:hAnsi="Times New Roman" w:cs="Times New Roman"/>
          <w:color w:val="000000" w:themeColor="text1"/>
        </w:rPr>
        <w:footnoteReference w:id="98"/>
      </w:r>
      <w:r w:rsidR="00E920BA">
        <w:rPr>
          <w:rFonts w:ascii="Times New Roman" w:hAnsi="Times New Roman" w:cs="Times New Roman"/>
          <w:color w:val="000000" w:themeColor="text1"/>
        </w:rPr>
        <w:t xml:space="preserve"> </w:t>
      </w:r>
    </w:p>
    <w:p w14:paraId="009B52B8" w14:textId="0D892B5B" w:rsidR="002373AB" w:rsidRPr="007D30EA" w:rsidRDefault="00412019" w:rsidP="007D30EA">
      <w:pPr>
        <w:widowControl w:val="0"/>
        <w:autoSpaceDE w:val="0"/>
        <w:autoSpaceDN w:val="0"/>
        <w:adjustRightInd w:val="0"/>
        <w:ind w:firstLine="720"/>
        <w:jc w:val="both"/>
        <w:rPr>
          <w:rFonts w:ascii="Times New Roman" w:hAnsi="Times New Roman" w:cs="Times New Roman"/>
          <w:color w:val="000000" w:themeColor="text1"/>
        </w:rPr>
      </w:pPr>
      <w:r w:rsidRPr="00A510A8">
        <w:rPr>
          <w:rFonts w:ascii="Times New Roman" w:hAnsi="Times New Roman" w:cs="Times New Roman"/>
          <w:color w:val="000000" w:themeColor="text1"/>
        </w:rPr>
        <w:t>This report is considered the basis for the doctrine of</w:t>
      </w:r>
      <w:r w:rsidR="00A11CEC">
        <w:rPr>
          <w:rFonts w:ascii="Times New Roman" w:hAnsi="Times New Roman" w:cs="Times New Roman"/>
          <w:color w:val="000000" w:themeColor="text1"/>
        </w:rPr>
        <w:t xml:space="preserve"> R2P</w:t>
      </w:r>
      <w:r w:rsidR="003D44EE" w:rsidRPr="00A510A8">
        <w:rPr>
          <w:rFonts w:ascii="Times New Roman" w:hAnsi="Times New Roman" w:cs="Times New Roman"/>
          <w:color w:val="000000" w:themeColor="text1"/>
        </w:rPr>
        <w:t>,</w:t>
      </w:r>
      <w:r w:rsidR="00527533" w:rsidRPr="00A510A8">
        <w:rPr>
          <w:rStyle w:val="FootnoteReference"/>
          <w:rFonts w:ascii="Times New Roman" w:hAnsi="Times New Roman" w:cs="Times New Roman"/>
          <w:color w:val="000000" w:themeColor="text1"/>
        </w:rPr>
        <w:footnoteReference w:id="99"/>
      </w:r>
      <w:r w:rsidR="003D44EE" w:rsidRPr="00A510A8">
        <w:rPr>
          <w:rFonts w:ascii="Times New Roman" w:hAnsi="Times New Roman" w:cs="Times New Roman"/>
          <w:color w:val="000000" w:themeColor="text1"/>
        </w:rPr>
        <w:t xml:space="preserve"> and it outlines</w:t>
      </w:r>
      <w:r w:rsidR="005648E6" w:rsidRPr="00A510A8">
        <w:rPr>
          <w:rFonts w:ascii="Times New Roman" w:hAnsi="Times New Roman" w:cs="Times New Roman"/>
          <w:color w:val="000000" w:themeColor="text1"/>
        </w:rPr>
        <w:t xml:space="preserve"> three pillars</w:t>
      </w:r>
      <w:r w:rsidR="003D44EE" w:rsidRPr="00A510A8">
        <w:rPr>
          <w:rFonts w:ascii="Times New Roman" w:hAnsi="Times New Roman" w:cs="Times New Roman"/>
          <w:color w:val="000000" w:themeColor="text1"/>
        </w:rPr>
        <w:t xml:space="preserve"> under which this responsibility can be carried out</w:t>
      </w:r>
      <w:r w:rsidR="005648E6" w:rsidRPr="00A510A8">
        <w:rPr>
          <w:rFonts w:ascii="Times New Roman" w:hAnsi="Times New Roman" w:cs="Times New Roman"/>
          <w:color w:val="000000" w:themeColor="text1"/>
        </w:rPr>
        <w:t>.</w:t>
      </w:r>
      <w:r w:rsidR="00282DB5" w:rsidRPr="00A510A8">
        <w:rPr>
          <w:rStyle w:val="FootnoteReference"/>
          <w:rFonts w:ascii="Times New Roman" w:hAnsi="Times New Roman" w:cs="Times New Roman"/>
          <w:color w:val="000000" w:themeColor="text1"/>
        </w:rPr>
        <w:footnoteReference w:id="100"/>
      </w:r>
      <w:r w:rsidR="00E72502">
        <w:rPr>
          <w:rFonts w:ascii="Times New Roman" w:hAnsi="Times New Roman" w:cs="Times New Roman"/>
          <w:color w:val="000000" w:themeColor="text1"/>
        </w:rPr>
        <w:t xml:space="preserve">  </w:t>
      </w:r>
      <w:r w:rsidR="005648E6" w:rsidRPr="00A510A8">
        <w:rPr>
          <w:rFonts w:ascii="Times New Roman" w:hAnsi="Times New Roman" w:cs="Times New Roman"/>
          <w:color w:val="000000" w:themeColor="text1"/>
        </w:rPr>
        <w:t xml:space="preserve">The first pillar of R2P is that pursuant to the </w:t>
      </w:r>
      <w:r w:rsidR="00527533" w:rsidRPr="00A510A8">
        <w:rPr>
          <w:rFonts w:ascii="Times New Roman" w:hAnsi="Times New Roman" w:cs="Times New Roman"/>
          <w:color w:val="000000" w:themeColor="text1"/>
        </w:rPr>
        <w:t xml:space="preserve">principles of sovereignty, the state has an obligation to </w:t>
      </w:r>
      <w:r w:rsidR="00E15F2D" w:rsidRPr="00A510A8">
        <w:rPr>
          <w:rFonts w:ascii="Times New Roman" w:hAnsi="Times New Roman" w:cs="Times New Roman"/>
          <w:color w:val="000000" w:themeColor="text1"/>
        </w:rPr>
        <w:t>protect its citizens from atrocity crimes.</w:t>
      </w:r>
      <w:r w:rsidR="00E15F2D" w:rsidRPr="00A510A8">
        <w:rPr>
          <w:rStyle w:val="FootnoteReference"/>
          <w:rFonts w:ascii="Times New Roman" w:hAnsi="Times New Roman" w:cs="Times New Roman"/>
          <w:color w:val="000000" w:themeColor="text1"/>
        </w:rPr>
        <w:footnoteReference w:id="101"/>
      </w:r>
      <w:r w:rsidR="00E72502">
        <w:rPr>
          <w:rFonts w:ascii="Times New Roman" w:hAnsi="Times New Roman" w:cs="Times New Roman"/>
          <w:color w:val="000000" w:themeColor="text1"/>
        </w:rPr>
        <w:t xml:space="preserve">  </w:t>
      </w:r>
      <w:r w:rsidR="009A4508" w:rsidRPr="00A510A8">
        <w:rPr>
          <w:rFonts w:ascii="Times New Roman" w:hAnsi="Times New Roman" w:cs="Times New Roman"/>
          <w:color w:val="000000" w:themeColor="text1"/>
        </w:rPr>
        <w:t xml:space="preserve">Should the state possess inadequate </w:t>
      </w:r>
      <w:r w:rsidR="00EF6DA0" w:rsidRPr="00A510A8">
        <w:rPr>
          <w:rFonts w:ascii="Times New Roman" w:hAnsi="Times New Roman" w:cs="Times New Roman"/>
          <w:color w:val="000000" w:themeColor="text1"/>
        </w:rPr>
        <w:t>resources and capacity to protect its citizens, it may seek assistance from the international community.</w:t>
      </w:r>
      <w:r w:rsidR="000B035C" w:rsidRPr="00A510A8">
        <w:rPr>
          <w:rStyle w:val="FootnoteReference"/>
          <w:rFonts w:ascii="Times New Roman" w:hAnsi="Times New Roman" w:cs="Times New Roman"/>
          <w:color w:val="000000" w:themeColor="text1"/>
        </w:rPr>
        <w:footnoteReference w:id="102"/>
      </w:r>
      <w:r w:rsidR="00E72502">
        <w:rPr>
          <w:rFonts w:ascii="Times New Roman" w:hAnsi="Times New Roman" w:cs="Times New Roman"/>
          <w:color w:val="000000" w:themeColor="text1"/>
        </w:rPr>
        <w:t xml:space="preserve">  </w:t>
      </w:r>
      <w:r w:rsidR="00EF6DA0" w:rsidRPr="00A510A8">
        <w:rPr>
          <w:rFonts w:ascii="Times New Roman" w:hAnsi="Times New Roman" w:cs="Times New Roman"/>
          <w:color w:val="000000" w:themeColor="text1"/>
        </w:rPr>
        <w:t>This is the second pillar of R2P.</w:t>
      </w:r>
      <w:r w:rsidR="00AD608F" w:rsidRPr="00A510A8">
        <w:rPr>
          <w:rStyle w:val="FootnoteReference"/>
          <w:rFonts w:ascii="Times New Roman" w:hAnsi="Times New Roman" w:cs="Times New Roman"/>
          <w:color w:val="000000" w:themeColor="text1"/>
        </w:rPr>
        <w:footnoteReference w:id="103"/>
      </w:r>
      <w:r w:rsidR="00E72502">
        <w:rPr>
          <w:rFonts w:ascii="Times New Roman" w:hAnsi="Times New Roman" w:cs="Times New Roman"/>
          <w:color w:val="000000" w:themeColor="text1"/>
        </w:rPr>
        <w:t xml:space="preserve">  </w:t>
      </w:r>
      <w:r w:rsidR="00AD608F" w:rsidRPr="00A510A8">
        <w:rPr>
          <w:rFonts w:ascii="Times New Roman" w:hAnsi="Times New Roman" w:cs="Times New Roman"/>
          <w:color w:val="000000" w:themeColor="text1"/>
        </w:rPr>
        <w:t xml:space="preserve">If both of the first two pillars fail to prevent </w:t>
      </w:r>
      <w:r w:rsidR="007801C4">
        <w:rPr>
          <w:rFonts w:ascii="Times New Roman" w:hAnsi="Times New Roman" w:cs="Times New Roman"/>
          <w:color w:val="000000" w:themeColor="text1"/>
        </w:rPr>
        <w:t>the state from manifestly failing</w:t>
      </w:r>
      <w:r w:rsidR="00AD608F" w:rsidRPr="00A510A8">
        <w:rPr>
          <w:rFonts w:ascii="Times New Roman" w:hAnsi="Times New Roman" w:cs="Times New Roman"/>
          <w:color w:val="000000" w:themeColor="text1"/>
        </w:rPr>
        <w:t>, the international community is then obligated to intervene under the third pillar of R2P.</w:t>
      </w:r>
      <w:r w:rsidR="00AD608F" w:rsidRPr="00A510A8">
        <w:rPr>
          <w:rStyle w:val="FootnoteReference"/>
          <w:rFonts w:ascii="Times New Roman" w:hAnsi="Times New Roman" w:cs="Times New Roman"/>
          <w:color w:val="000000" w:themeColor="text1"/>
        </w:rPr>
        <w:footnoteReference w:id="104"/>
      </w:r>
      <w:r w:rsidR="005E4DAD" w:rsidRPr="00A510A8">
        <w:rPr>
          <w:rFonts w:ascii="Times New Roman" w:hAnsi="Times New Roman" w:cs="Times New Roman"/>
          <w:color w:val="000000" w:themeColor="text1"/>
        </w:rPr>
        <w:t xml:space="preserve">  However, as of the writing of the report, there has yet to be a consensus regardi</w:t>
      </w:r>
      <w:r w:rsidR="00E72502">
        <w:rPr>
          <w:rFonts w:ascii="Times New Roman" w:hAnsi="Times New Roman" w:cs="Times New Roman"/>
          <w:color w:val="000000" w:themeColor="text1"/>
        </w:rPr>
        <w:t>ng the meaning of intervention</w:t>
      </w:r>
      <w:r w:rsidR="00A51A4C">
        <w:rPr>
          <w:rFonts w:ascii="Times New Roman" w:hAnsi="Times New Roman" w:cs="Times New Roman"/>
          <w:color w:val="000000" w:themeColor="text1"/>
        </w:rPr>
        <w:t>:</w:t>
      </w:r>
      <w:r w:rsidR="005E4DAD" w:rsidRPr="00A510A8">
        <w:rPr>
          <w:rStyle w:val="FootnoteReference"/>
          <w:rFonts w:ascii="Times New Roman" w:hAnsi="Times New Roman" w:cs="Times New Roman"/>
          <w:color w:val="000000" w:themeColor="text1"/>
        </w:rPr>
        <w:footnoteReference w:id="105"/>
      </w:r>
    </w:p>
    <w:p w14:paraId="45C1754A" w14:textId="6F67DF1C" w:rsidR="002373AB" w:rsidRPr="00963A37" w:rsidRDefault="00A510A8" w:rsidP="007D30EA">
      <w:pPr>
        <w:widowControl w:val="0"/>
        <w:autoSpaceDE w:val="0"/>
        <w:autoSpaceDN w:val="0"/>
        <w:adjustRightInd w:val="0"/>
        <w:ind w:left="720" w:right="720"/>
        <w:jc w:val="both"/>
        <w:rPr>
          <w:rFonts w:ascii="Times New Roman" w:hAnsi="Times New Roman" w:cs="Times New Roman"/>
        </w:rPr>
      </w:pPr>
      <w:r w:rsidRPr="00A510A8">
        <w:rPr>
          <w:rFonts w:ascii="Times New Roman" w:hAnsi="Times New Roman" w:cs="Times New Roman"/>
        </w:rPr>
        <w:t>Some would regard any application</w:t>
      </w:r>
      <w:r>
        <w:rPr>
          <w:rFonts w:ascii="Times New Roman" w:hAnsi="Times New Roman" w:cs="Times New Roman"/>
        </w:rPr>
        <w:t xml:space="preserve"> </w:t>
      </w:r>
      <w:r w:rsidRPr="00A510A8">
        <w:rPr>
          <w:rFonts w:ascii="Times New Roman" w:hAnsi="Times New Roman" w:cs="Times New Roman"/>
        </w:rPr>
        <w:t xml:space="preserve">of pressure to a state as being intervention, and would include in </w:t>
      </w:r>
      <w:r w:rsidRPr="00A510A8">
        <w:rPr>
          <w:rFonts w:ascii="Times New Roman" w:hAnsi="Times New Roman" w:cs="Times New Roman"/>
        </w:rPr>
        <w:lastRenderedPageBreak/>
        <w:t xml:space="preserve">this conditional support </w:t>
      </w:r>
      <w:proofErr w:type="spellStart"/>
      <w:r w:rsidRPr="00A510A8">
        <w:rPr>
          <w:rFonts w:ascii="Times New Roman" w:hAnsi="Times New Roman" w:cs="Times New Roman"/>
        </w:rPr>
        <w:t>programmes</w:t>
      </w:r>
      <w:proofErr w:type="spellEnd"/>
      <w:r>
        <w:rPr>
          <w:rFonts w:ascii="Times New Roman" w:hAnsi="Times New Roman" w:cs="Times New Roman"/>
        </w:rPr>
        <w:t xml:space="preserve"> </w:t>
      </w:r>
      <w:r w:rsidRPr="00A510A8">
        <w:rPr>
          <w:rFonts w:ascii="Times New Roman" w:hAnsi="Times New Roman" w:cs="Times New Roman"/>
        </w:rPr>
        <w:t>by major international financial institutions whose recipients often feel the</w:t>
      </w:r>
      <w:r w:rsidR="00E72502">
        <w:rPr>
          <w:rFonts w:ascii="Times New Roman" w:hAnsi="Times New Roman" w:cs="Times New Roman"/>
        </w:rPr>
        <w:t xml:space="preserve">y have no choice but to accept.  </w:t>
      </w:r>
      <w:r w:rsidRPr="00A510A8">
        <w:rPr>
          <w:rFonts w:ascii="Times New Roman" w:hAnsi="Times New Roman" w:cs="Times New Roman"/>
        </w:rPr>
        <w:t>Some oth</w:t>
      </w:r>
      <w:r w:rsidR="007B4EC9">
        <w:rPr>
          <w:rFonts w:ascii="Times New Roman" w:hAnsi="Times New Roman" w:cs="Times New Roman"/>
        </w:rPr>
        <w:t>ers would regard almost any non-</w:t>
      </w:r>
      <w:r w:rsidRPr="00A510A8">
        <w:rPr>
          <w:rFonts w:ascii="Times New Roman" w:hAnsi="Times New Roman" w:cs="Times New Roman"/>
        </w:rPr>
        <w:t>consensual interference in the internal affairs of anothe</w:t>
      </w:r>
      <w:r w:rsidR="00E72502">
        <w:rPr>
          <w:rFonts w:ascii="Times New Roman" w:hAnsi="Times New Roman" w:cs="Times New Roman"/>
        </w:rPr>
        <w:t xml:space="preserve">r state as being intervention— </w:t>
      </w:r>
      <w:r w:rsidRPr="00A510A8">
        <w:rPr>
          <w:rFonts w:ascii="Times New Roman" w:hAnsi="Times New Roman" w:cs="Times New Roman"/>
        </w:rPr>
        <w:t xml:space="preserve">including the delivery of emergency relief assistance to a section of </w:t>
      </w:r>
      <w:r w:rsidR="00E72502">
        <w:rPr>
          <w:rFonts w:ascii="Times New Roman" w:hAnsi="Times New Roman" w:cs="Times New Roman"/>
        </w:rPr>
        <w:t xml:space="preserve">a country’s population in need.  </w:t>
      </w:r>
      <w:r w:rsidRPr="00A510A8">
        <w:rPr>
          <w:rFonts w:ascii="Times New Roman" w:hAnsi="Times New Roman" w:cs="Times New Roman"/>
        </w:rPr>
        <w:t>Others again would regard any kin</w:t>
      </w:r>
      <w:r w:rsidR="00E72502">
        <w:rPr>
          <w:rFonts w:ascii="Times New Roman" w:hAnsi="Times New Roman" w:cs="Times New Roman"/>
        </w:rPr>
        <w:t>d of outright coercive actions—</w:t>
      </w:r>
      <w:r w:rsidRPr="00A510A8">
        <w:rPr>
          <w:rFonts w:ascii="Times New Roman" w:hAnsi="Times New Roman" w:cs="Times New Roman"/>
        </w:rPr>
        <w:t>not just military action but actual or threatened political and</w:t>
      </w:r>
      <w:r w:rsidR="00E72502">
        <w:rPr>
          <w:rFonts w:ascii="Times New Roman" w:hAnsi="Times New Roman" w:cs="Times New Roman"/>
        </w:rPr>
        <w:t xml:space="preserve"> economic sanctions, blockades, </w:t>
      </w:r>
      <w:r w:rsidRPr="00A510A8">
        <w:rPr>
          <w:rFonts w:ascii="Times New Roman" w:hAnsi="Times New Roman" w:cs="Times New Roman"/>
        </w:rPr>
        <w:t>diplomatic and military threats, and intern</w:t>
      </w:r>
      <w:r w:rsidR="00963A37">
        <w:rPr>
          <w:rFonts w:ascii="Times New Roman" w:hAnsi="Times New Roman" w:cs="Times New Roman"/>
        </w:rPr>
        <w:t>ational criminal prosecutions—</w:t>
      </w:r>
      <w:r w:rsidRPr="00A510A8">
        <w:rPr>
          <w:rFonts w:ascii="Times New Roman" w:hAnsi="Times New Roman" w:cs="Times New Roman"/>
        </w:rPr>
        <w:t xml:space="preserve">as </w:t>
      </w:r>
      <w:r w:rsidR="00E72502">
        <w:rPr>
          <w:rFonts w:ascii="Times New Roman" w:hAnsi="Times New Roman" w:cs="Times New Roman"/>
        </w:rPr>
        <w:t xml:space="preserve">all being included in the term.  </w:t>
      </w:r>
      <w:r w:rsidRPr="00E920BA">
        <w:rPr>
          <w:rFonts w:ascii="Times New Roman" w:hAnsi="Times New Roman" w:cs="Times New Roman"/>
        </w:rPr>
        <w:t>Yet others would confine its use to military force.</w:t>
      </w:r>
      <w:r w:rsidRPr="00E920BA">
        <w:rPr>
          <w:rStyle w:val="FootnoteReference"/>
          <w:rFonts w:ascii="Times New Roman" w:hAnsi="Times New Roman" w:cs="Times New Roman"/>
        </w:rPr>
        <w:footnoteReference w:id="106"/>
      </w:r>
      <w:r w:rsidRPr="00A510A8">
        <w:rPr>
          <w:rFonts w:ascii="Times New Roman" w:hAnsi="Times New Roman" w:cs="Times New Roman"/>
        </w:rPr>
        <w:t xml:space="preserve"> </w:t>
      </w:r>
    </w:p>
    <w:p w14:paraId="1852AA4E" w14:textId="4BA00DB6" w:rsidR="00520FF3" w:rsidRDefault="00E72502" w:rsidP="006009D2">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The definition of “intervention” provided in the ICISS report is effectively a laundry list of every possible type of intervention.  </w:t>
      </w:r>
      <w:r w:rsidR="004D1371">
        <w:rPr>
          <w:rFonts w:ascii="Times New Roman" w:hAnsi="Times New Roman" w:cs="Times New Roman"/>
        </w:rPr>
        <w:t>The authors of t</w:t>
      </w:r>
      <w:r w:rsidR="007B4EC9">
        <w:rPr>
          <w:rFonts w:ascii="Times New Roman" w:hAnsi="Times New Roman" w:cs="Times New Roman"/>
        </w:rPr>
        <w:t>he report chose to focus on non-</w:t>
      </w:r>
      <w:r w:rsidR="004D1371">
        <w:rPr>
          <w:rFonts w:ascii="Times New Roman" w:hAnsi="Times New Roman" w:cs="Times New Roman"/>
        </w:rPr>
        <w:t>consensual intervention against a state or i</w:t>
      </w:r>
      <w:r w:rsidR="00CA7138">
        <w:rPr>
          <w:rFonts w:ascii="Times New Roman" w:hAnsi="Times New Roman" w:cs="Times New Roman"/>
        </w:rPr>
        <w:t>ts authorities.</w:t>
      </w:r>
      <w:r w:rsidR="00CA7138">
        <w:rPr>
          <w:rStyle w:val="FootnoteReference"/>
          <w:rFonts w:ascii="Times New Roman" w:hAnsi="Times New Roman" w:cs="Times New Roman"/>
        </w:rPr>
        <w:footnoteReference w:id="107"/>
      </w:r>
      <w:r w:rsidR="007F7758">
        <w:rPr>
          <w:rFonts w:ascii="Times New Roman" w:hAnsi="Times New Roman" w:cs="Times New Roman"/>
        </w:rPr>
        <w:t xml:space="preserve">  </w:t>
      </w:r>
      <w:r w:rsidR="00CA7138">
        <w:rPr>
          <w:rFonts w:ascii="Times New Roman" w:hAnsi="Times New Roman" w:cs="Times New Roman"/>
        </w:rPr>
        <w:t xml:space="preserve">They broke this down further into military intervention and its alternatives, such as sanctions and </w:t>
      </w:r>
      <w:r w:rsidR="007F7758">
        <w:rPr>
          <w:rFonts w:ascii="Times New Roman" w:hAnsi="Times New Roman" w:cs="Times New Roman"/>
        </w:rPr>
        <w:t>criminal prosecution.</w:t>
      </w:r>
      <w:r w:rsidR="007F7758">
        <w:rPr>
          <w:rStyle w:val="FootnoteReference"/>
          <w:rFonts w:ascii="Times New Roman" w:hAnsi="Times New Roman" w:cs="Times New Roman"/>
        </w:rPr>
        <w:footnoteReference w:id="108"/>
      </w:r>
      <w:r>
        <w:rPr>
          <w:rFonts w:ascii="Times New Roman" w:hAnsi="Times New Roman" w:cs="Times New Roman"/>
        </w:rPr>
        <w:t xml:space="preserve">  </w:t>
      </w:r>
      <w:r w:rsidR="00520FF3">
        <w:rPr>
          <w:rFonts w:ascii="Times New Roman" w:hAnsi="Times New Roman" w:cs="Times New Roman"/>
        </w:rPr>
        <w:t>The commission is careful to make a distinction between states having a “right to intervention,” and a responsibility to protect.</w:t>
      </w:r>
      <w:r w:rsidR="00520FF3">
        <w:rPr>
          <w:rStyle w:val="FootnoteReference"/>
          <w:rFonts w:ascii="Times New Roman" w:hAnsi="Times New Roman" w:cs="Times New Roman"/>
        </w:rPr>
        <w:footnoteReference w:id="109"/>
      </w:r>
    </w:p>
    <w:p w14:paraId="538095CD" w14:textId="1169BE9E" w:rsidR="00EA39DB" w:rsidRDefault="00A36B81" w:rsidP="00437CF3">
      <w:pPr>
        <w:widowControl w:val="0"/>
        <w:autoSpaceDE w:val="0"/>
        <w:autoSpaceDN w:val="0"/>
        <w:adjustRightInd w:val="0"/>
        <w:jc w:val="both"/>
        <w:rPr>
          <w:rFonts w:ascii="Times New Roman" w:hAnsi="Times New Roman" w:cs="Times New Roman"/>
        </w:rPr>
      </w:pPr>
      <w:r>
        <w:rPr>
          <w:rFonts w:ascii="Times New Roman" w:hAnsi="Times New Roman" w:cs="Times New Roman"/>
        </w:rPr>
        <w:tab/>
      </w:r>
      <w:r w:rsidR="00A73D00">
        <w:rPr>
          <w:rFonts w:ascii="Times New Roman" w:hAnsi="Times New Roman" w:cs="Times New Roman"/>
        </w:rPr>
        <w:t>Pursuant to the doctrine of R2P, there are th</w:t>
      </w:r>
      <w:r w:rsidR="00030678">
        <w:rPr>
          <w:rFonts w:ascii="Times New Roman" w:hAnsi="Times New Roman" w:cs="Times New Roman"/>
        </w:rPr>
        <w:t xml:space="preserve">ree criteria that </w:t>
      </w:r>
      <w:r w:rsidR="00D52A24">
        <w:rPr>
          <w:rFonts w:ascii="Times New Roman" w:hAnsi="Times New Roman" w:cs="Times New Roman"/>
        </w:rPr>
        <w:t>must be met before successful prevention measures can be initiated.</w:t>
      </w:r>
      <w:r w:rsidR="00D52A24">
        <w:rPr>
          <w:rStyle w:val="FootnoteReference"/>
          <w:rFonts w:ascii="Times New Roman" w:hAnsi="Times New Roman" w:cs="Times New Roman"/>
        </w:rPr>
        <w:footnoteReference w:id="110"/>
      </w:r>
      <w:r w:rsidR="00E72502">
        <w:rPr>
          <w:rFonts w:ascii="Times New Roman" w:hAnsi="Times New Roman" w:cs="Times New Roman"/>
        </w:rPr>
        <w:t xml:space="preserve">  </w:t>
      </w:r>
      <w:r w:rsidR="00AC6539">
        <w:rPr>
          <w:rFonts w:ascii="Times New Roman" w:hAnsi="Times New Roman" w:cs="Times New Roman"/>
        </w:rPr>
        <w:t>First t</w:t>
      </w:r>
      <w:r w:rsidR="00D52A24">
        <w:rPr>
          <w:rFonts w:ascii="Times New Roman" w:hAnsi="Times New Roman" w:cs="Times New Roman"/>
        </w:rPr>
        <w:t>here must be a system of “early warning” in place to identify high risk situations;</w:t>
      </w:r>
      <w:r w:rsidR="0042269E">
        <w:rPr>
          <w:rFonts w:ascii="Times New Roman" w:hAnsi="Times New Roman" w:cs="Times New Roman"/>
        </w:rPr>
        <w:t xml:space="preserve"> second,</w:t>
      </w:r>
      <w:r w:rsidR="00D52A24">
        <w:rPr>
          <w:rFonts w:ascii="Times New Roman" w:hAnsi="Times New Roman" w:cs="Times New Roman"/>
        </w:rPr>
        <w:t xml:space="preserve"> </w:t>
      </w:r>
      <w:r w:rsidR="00CB097C">
        <w:rPr>
          <w:rFonts w:ascii="Times New Roman" w:hAnsi="Times New Roman" w:cs="Times New Roman"/>
        </w:rPr>
        <w:t xml:space="preserve">parties responsible for </w:t>
      </w:r>
      <w:r w:rsidR="002164D0">
        <w:rPr>
          <w:rFonts w:ascii="Times New Roman" w:hAnsi="Times New Roman" w:cs="Times New Roman"/>
        </w:rPr>
        <w:t xml:space="preserve">organizing preventative intervention must possess knowledge </w:t>
      </w:r>
      <w:r w:rsidR="00AB0698">
        <w:rPr>
          <w:rFonts w:ascii="Times New Roman" w:hAnsi="Times New Roman" w:cs="Times New Roman"/>
        </w:rPr>
        <w:t>of all available policy and civil society mechanisms</w:t>
      </w:r>
      <w:r w:rsidR="0042269E">
        <w:rPr>
          <w:rFonts w:ascii="Times New Roman" w:hAnsi="Times New Roman" w:cs="Times New Roman"/>
        </w:rPr>
        <w:t xml:space="preserve"> that could potentially affect change</w:t>
      </w:r>
      <w:r w:rsidR="00604141">
        <w:rPr>
          <w:rFonts w:ascii="Times New Roman" w:hAnsi="Times New Roman" w:cs="Times New Roman"/>
        </w:rPr>
        <w:t xml:space="preserve"> </w:t>
      </w:r>
      <w:r w:rsidR="0042269E">
        <w:rPr>
          <w:rFonts w:ascii="Times New Roman" w:hAnsi="Times New Roman" w:cs="Times New Roman"/>
        </w:rPr>
        <w:t>(preventative toolbox); and third, political leaders and bodies must have a desire to aid in prevention (political will).</w:t>
      </w:r>
      <w:r w:rsidR="0042269E">
        <w:rPr>
          <w:rStyle w:val="FootnoteReference"/>
          <w:rFonts w:ascii="Times New Roman" w:hAnsi="Times New Roman" w:cs="Times New Roman"/>
        </w:rPr>
        <w:footnoteReference w:id="111"/>
      </w:r>
      <w:r w:rsidR="00E72502">
        <w:rPr>
          <w:rFonts w:ascii="Times New Roman" w:hAnsi="Times New Roman" w:cs="Times New Roman"/>
        </w:rPr>
        <w:t xml:space="preserve">  </w:t>
      </w:r>
      <w:r w:rsidR="001C3D09">
        <w:rPr>
          <w:rFonts w:ascii="Times New Roman" w:hAnsi="Times New Roman" w:cs="Times New Roman"/>
        </w:rPr>
        <w:t xml:space="preserve">The tools that </w:t>
      </w:r>
      <w:r w:rsidR="00E22C0A">
        <w:rPr>
          <w:rFonts w:ascii="Times New Roman" w:hAnsi="Times New Roman" w:cs="Times New Roman"/>
        </w:rPr>
        <w:t>the ICISS identifies as curren</w:t>
      </w:r>
      <w:r w:rsidR="00A17131">
        <w:rPr>
          <w:rFonts w:ascii="Times New Roman" w:hAnsi="Times New Roman" w:cs="Times New Roman"/>
        </w:rPr>
        <w:t xml:space="preserve">tly being in the preventative </w:t>
      </w:r>
      <w:r w:rsidR="007C4881">
        <w:rPr>
          <w:rFonts w:ascii="Times New Roman" w:hAnsi="Times New Roman" w:cs="Times New Roman"/>
        </w:rPr>
        <w:t>toolbox are: economic sanctions;</w:t>
      </w:r>
      <w:r w:rsidR="00A17131">
        <w:rPr>
          <w:rFonts w:ascii="Times New Roman" w:hAnsi="Times New Roman" w:cs="Times New Roman"/>
        </w:rPr>
        <w:t xml:space="preserve"> diplomatic </w:t>
      </w:r>
      <w:r w:rsidR="00A765AD">
        <w:rPr>
          <w:rFonts w:ascii="Times New Roman" w:hAnsi="Times New Roman" w:cs="Times New Roman"/>
        </w:rPr>
        <w:lastRenderedPageBreak/>
        <w:t>sanctions,</w:t>
      </w:r>
      <w:r w:rsidR="007C4881">
        <w:rPr>
          <w:rFonts w:ascii="Times New Roman" w:hAnsi="Times New Roman" w:cs="Times New Roman"/>
        </w:rPr>
        <w:t xml:space="preserve"> such as naming and shaming;</w:t>
      </w:r>
      <w:r w:rsidR="00A765AD">
        <w:rPr>
          <w:rFonts w:ascii="Times New Roman" w:hAnsi="Times New Roman" w:cs="Times New Roman"/>
        </w:rPr>
        <w:t xml:space="preserve"> </w:t>
      </w:r>
      <w:r w:rsidR="007C4881">
        <w:rPr>
          <w:rFonts w:ascii="Times New Roman" w:hAnsi="Times New Roman" w:cs="Times New Roman"/>
        </w:rPr>
        <w:t xml:space="preserve">legal means of </w:t>
      </w:r>
      <w:r w:rsidR="006C0F96">
        <w:rPr>
          <w:rFonts w:ascii="Times New Roman" w:hAnsi="Times New Roman" w:cs="Times New Roman"/>
        </w:rPr>
        <w:t xml:space="preserve">intervention, such </w:t>
      </w:r>
      <w:r w:rsidR="005F2EF2">
        <w:rPr>
          <w:rFonts w:ascii="Times New Roman" w:hAnsi="Times New Roman" w:cs="Times New Roman"/>
        </w:rPr>
        <w:t xml:space="preserve">as </w:t>
      </w:r>
      <w:r w:rsidR="00A765AD">
        <w:rPr>
          <w:rFonts w:ascii="Times New Roman" w:hAnsi="Times New Roman" w:cs="Times New Roman"/>
        </w:rPr>
        <w:t>international criminal prosecution</w:t>
      </w:r>
      <w:r w:rsidR="00543990">
        <w:rPr>
          <w:rFonts w:ascii="Times New Roman" w:hAnsi="Times New Roman" w:cs="Times New Roman"/>
        </w:rPr>
        <w:t>,</w:t>
      </w:r>
      <w:r w:rsidR="006C0F96">
        <w:rPr>
          <w:rFonts w:ascii="Times New Roman" w:hAnsi="Times New Roman" w:cs="Times New Roman"/>
        </w:rPr>
        <w:t xml:space="preserve"> and others described above;</w:t>
      </w:r>
      <w:r w:rsidR="00543990">
        <w:rPr>
          <w:rFonts w:ascii="Times New Roman" w:hAnsi="Times New Roman" w:cs="Times New Roman"/>
        </w:rPr>
        <w:t xml:space="preserve"> and military intervention.</w:t>
      </w:r>
      <w:r w:rsidR="00543990">
        <w:rPr>
          <w:rStyle w:val="FootnoteReference"/>
          <w:rFonts w:ascii="Times New Roman" w:hAnsi="Times New Roman" w:cs="Times New Roman"/>
        </w:rPr>
        <w:footnoteReference w:id="112"/>
      </w:r>
      <w:r w:rsidR="00E72502">
        <w:rPr>
          <w:rFonts w:ascii="Times New Roman" w:hAnsi="Times New Roman" w:cs="Times New Roman"/>
        </w:rPr>
        <w:t xml:space="preserve">  </w:t>
      </w:r>
      <w:r w:rsidR="009E4F91">
        <w:rPr>
          <w:rFonts w:ascii="Times New Roman" w:hAnsi="Times New Roman" w:cs="Times New Roman"/>
        </w:rPr>
        <w:t>In addition, t</w:t>
      </w:r>
      <w:r w:rsidR="00CE0E28">
        <w:rPr>
          <w:rFonts w:ascii="Times New Roman" w:hAnsi="Times New Roman" w:cs="Times New Roman"/>
        </w:rPr>
        <w:t xml:space="preserve">he </w:t>
      </w:r>
      <w:r w:rsidR="007B09E6">
        <w:rPr>
          <w:rFonts w:ascii="Times New Roman" w:hAnsi="Times New Roman" w:cs="Times New Roman"/>
        </w:rPr>
        <w:t>ICISS emphasizes that in order for preventative mechanisms to be effective, they must involve civil society to the greatest extent possible, and maintain a sense of local</w:t>
      </w:r>
      <w:r w:rsidR="001654D7">
        <w:rPr>
          <w:rFonts w:ascii="Times New Roman" w:hAnsi="Times New Roman" w:cs="Times New Roman"/>
        </w:rPr>
        <w:t xml:space="preserve"> ownership</w:t>
      </w:r>
      <w:r w:rsidR="007B09E6">
        <w:rPr>
          <w:rFonts w:ascii="Times New Roman" w:hAnsi="Times New Roman" w:cs="Times New Roman"/>
        </w:rPr>
        <w:t xml:space="preserve"> while using the resources and capacity of the international community and international organizations.</w:t>
      </w:r>
      <w:r w:rsidR="007B09E6">
        <w:rPr>
          <w:rStyle w:val="FootnoteReference"/>
          <w:rFonts w:ascii="Times New Roman" w:hAnsi="Times New Roman" w:cs="Times New Roman"/>
        </w:rPr>
        <w:footnoteReference w:id="113"/>
      </w:r>
      <w:r w:rsidR="00E72502">
        <w:rPr>
          <w:rFonts w:ascii="Times New Roman" w:hAnsi="Times New Roman" w:cs="Times New Roman"/>
        </w:rPr>
        <w:t xml:space="preserve">  </w:t>
      </w:r>
      <w:r w:rsidR="004F2BB5">
        <w:rPr>
          <w:rFonts w:ascii="Times New Roman" w:hAnsi="Times New Roman" w:cs="Times New Roman"/>
        </w:rPr>
        <w:t>Although the report addresses non</w:t>
      </w:r>
      <w:r w:rsidR="007B4EC9">
        <w:rPr>
          <w:rFonts w:ascii="Times New Roman" w:hAnsi="Times New Roman" w:cs="Times New Roman"/>
        </w:rPr>
        <w:t>-</w:t>
      </w:r>
      <w:r w:rsidR="004F2BB5">
        <w:rPr>
          <w:rFonts w:ascii="Times New Roman" w:hAnsi="Times New Roman" w:cs="Times New Roman"/>
        </w:rPr>
        <w:t xml:space="preserve">military intervention, its primary focus is when it is appropriate to use military force, and how such force should be used. </w:t>
      </w:r>
      <w:r w:rsidR="00277F1F">
        <w:rPr>
          <w:rFonts w:ascii="Times New Roman" w:hAnsi="Times New Roman" w:cs="Times New Roman"/>
        </w:rPr>
        <w:t xml:space="preserve">Since R2P is an emerging norm, the international community has not had many opportunities to apply it. </w:t>
      </w:r>
    </w:p>
    <w:p w14:paraId="52314BEC" w14:textId="77777777" w:rsidR="00AC6D31" w:rsidRDefault="00AC6D31" w:rsidP="006009D2">
      <w:pPr>
        <w:widowControl w:val="0"/>
        <w:autoSpaceDE w:val="0"/>
        <w:autoSpaceDN w:val="0"/>
        <w:adjustRightInd w:val="0"/>
        <w:jc w:val="both"/>
        <w:rPr>
          <w:rFonts w:ascii="Times New Roman" w:hAnsi="Times New Roman" w:cs="Times New Roman"/>
        </w:rPr>
      </w:pPr>
    </w:p>
    <w:p w14:paraId="06FFBCFB" w14:textId="3564EC7D" w:rsidR="00EA39DB" w:rsidRPr="00AB6113" w:rsidRDefault="002373AB" w:rsidP="00AB6113">
      <w:pPr>
        <w:widowControl w:val="0"/>
        <w:autoSpaceDE w:val="0"/>
        <w:autoSpaceDN w:val="0"/>
        <w:adjustRightInd w:val="0"/>
        <w:jc w:val="center"/>
        <w:rPr>
          <w:rFonts w:ascii="Times New Roman" w:hAnsi="Times New Roman" w:cs="Times New Roman"/>
          <w:iCs/>
        </w:rPr>
      </w:pPr>
      <w:r w:rsidRPr="00AB6113">
        <w:rPr>
          <w:rFonts w:ascii="Times New Roman" w:hAnsi="Times New Roman" w:cs="Times New Roman"/>
        </w:rPr>
        <w:t xml:space="preserve">C.  </w:t>
      </w:r>
      <w:r w:rsidR="00BE698D" w:rsidRPr="00AB6113">
        <w:rPr>
          <w:rFonts w:ascii="Times New Roman" w:hAnsi="Times New Roman" w:cs="Times New Roman"/>
          <w:i/>
        </w:rPr>
        <w:t xml:space="preserve">Looking Ahead: The </w:t>
      </w:r>
      <w:r w:rsidR="00607BBD">
        <w:rPr>
          <w:rFonts w:ascii="Times New Roman" w:hAnsi="Times New Roman" w:cs="Times New Roman"/>
          <w:i/>
        </w:rPr>
        <w:t>U.N.</w:t>
      </w:r>
      <w:r w:rsidR="00BE698D" w:rsidRPr="00AB6113">
        <w:rPr>
          <w:rFonts w:ascii="Times New Roman" w:hAnsi="Times New Roman" w:cs="Times New Roman"/>
          <w:i/>
        </w:rPr>
        <w:t xml:space="preserve"> Framework</w:t>
      </w:r>
      <w:r w:rsidR="002577BE" w:rsidRPr="00AB6113">
        <w:rPr>
          <w:rFonts w:ascii="Times New Roman" w:hAnsi="Times New Roman" w:cs="Times New Roman"/>
          <w:i/>
        </w:rPr>
        <w:t xml:space="preserve"> of Analysis</w:t>
      </w:r>
    </w:p>
    <w:p w14:paraId="483A7A78" w14:textId="77777777" w:rsidR="00AC6D31" w:rsidRPr="00852509" w:rsidRDefault="00AC6D31" w:rsidP="006009D2">
      <w:pPr>
        <w:pStyle w:val="ListParagraph"/>
        <w:widowControl w:val="0"/>
        <w:autoSpaceDE w:val="0"/>
        <w:autoSpaceDN w:val="0"/>
        <w:adjustRightInd w:val="0"/>
        <w:rPr>
          <w:rFonts w:ascii="Times New Roman" w:hAnsi="Times New Roman" w:cs="Times New Roman"/>
          <w:iCs/>
        </w:rPr>
      </w:pPr>
    </w:p>
    <w:p w14:paraId="4993A363" w14:textId="28605356" w:rsidR="00543990" w:rsidRDefault="00543990" w:rsidP="006009D2">
      <w:pPr>
        <w:widowControl w:val="0"/>
        <w:autoSpaceDE w:val="0"/>
        <w:autoSpaceDN w:val="0"/>
        <w:adjustRightInd w:val="0"/>
        <w:jc w:val="both"/>
        <w:rPr>
          <w:rFonts w:ascii="Times New Roman" w:hAnsi="Times New Roman" w:cs="Times New Roman"/>
        </w:rPr>
      </w:pPr>
      <w:r>
        <w:rPr>
          <w:rFonts w:ascii="Times New Roman" w:hAnsi="Times New Roman" w:cs="Times New Roman"/>
        </w:rPr>
        <w:tab/>
        <w:t>In 2014, the United Nations</w:t>
      </w:r>
      <w:r w:rsidR="000038E2">
        <w:rPr>
          <w:rFonts w:ascii="Times New Roman" w:hAnsi="Times New Roman" w:cs="Times New Roman"/>
        </w:rPr>
        <w:t xml:space="preserve"> </w:t>
      </w:r>
      <w:r w:rsidR="00BB303E">
        <w:rPr>
          <w:rFonts w:ascii="Times New Roman" w:hAnsi="Times New Roman" w:cs="Times New Roman"/>
        </w:rPr>
        <w:t>Office of the Special Advis</w:t>
      </w:r>
      <w:r w:rsidR="00973DC0">
        <w:rPr>
          <w:rFonts w:ascii="Times New Roman" w:hAnsi="Times New Roman" w:cs="Times New Roman"/>
        </w:rPr>
        <w:t xml:space="preserve">er on the Prevention of Genocide </w:t>
      </w:r>
      <w:r w:rsidR="00CF2146">
        <w:rPr>
          <w:rFonts w:ascii="Times New Roman" w:hAnsi="Times New Roman" w:cs="Times New Roman"/>
        </w:rPr>
        <w:t>published</w:t>
      </w:r>
      <w:r w:rsidR="00812DB0">
        <w:rPr>
          <w:rFonts w:ascii="Times New Roman" w:hAnsi="Times New Roman" w:cs="Times New Roman"/>
        </w:rPr>
        <w:t xml:space="preserve"> </w:t>
      </w:r>
      <w:r w:rsidR="00973DC0">
        <w:rPr>
          <w:rFonts w:ascii="Times New Roman" w:hAnsi="Times New Roman" w:cs="Times New Roman"/>
        </w:rPr>
        <w:t xml:space="preserve">its </w:t>
      </w:r>
      <w:r w:rsidR="00812DB0">
        <w:rPr>
          <w:rFonts w:ascii="Times New Roman" w:hAnsi="Times New Roman" w:cs="Times New Roman"/>
        </w:rPr>
        <w:t xml:space="preserve">Framework of </w:t>
      </w:r>
      <w:r w:rsidR="002577BE">
        <w:rPr>
          <w:rFonts w:ascii="Times New Roman" w:hAnsi="Times New Roman" w:cs="Times New Roman"/>
        </w:rPr>
        <w:t>Analysis</w:t>
      </w:r>
      <w:r w:rsidR="00973DC0">
        <w:rPr>
          <w:rFonts w:ascii="Times New Roman" w:hAnsi="Times New Roman" w:cs="Times New Roman"/>
        </w:rPr>
        <w:t xml:space="preserve"> for Atrocity Crimes</w:t>
      </w:r>
      <w:r w:rsidR="00843586">
        <w:rPr>
          <w:rFonts w:ascii="Times New Roman" w:hAnsi="Times New Roman" w:cs="Times New Roman"/>
        </w:rPr>
        <w:t>.</w:t>
      </w:r>
      <w:r w:rsidR="00843586">
        <w:rPr>
          <w:rStyle w:val="FootnoteReference"/>
          <w:rFonts w:ascii="Times New Roman" w:hAnsi="Times New Roman" w:cs="Times New Roman"/>
        </w:rPr>
        <w:footnoteReference w:id="114"/>
      </w:r>
      <w:r w:rsidR="00E72502">
        <w:rPr>
          <w:rFonts w:ascii="Times New Roman" w:hAnsi="Times New Roman" w:cs="Times New Roman"/>
        </w:rPr>
        <w:t xml:space="preserve">  </w:t>
      </w:r>
      <w:r w:rsidR="00843586">
        <w:rPr>
          <w:rFonts w:ascii="Times New Roman" w:hAnsi="Times New Roman" w:cs="Times New Roman"/>
        </w:rPr>
        <w:t xml:space="preserve">This document </w:t>
      </w:r>
      <w:r w:rsidR="002A4F20">
        <w:rPr>
          <w:rFonts w:ascii="Times New Roman" w:hAnsi="Times New Roman" w:cs="Times New Roman"/>
        </w:rPr>
        <w:t xml:space="preserve">outlines the significance </w:t>
      </w:r>
      <w:r w:rsidR="00400FCC">
        <w:rPr>
          <w:rFonts w:ascii="Times New Roman" w:hAnsi="Times New Roman" w:cs="Times New Roman"/>
        </w:rPr>
        <w:t>of atrocity prevention, and further elaborates on some of the concepts expoun</w:t>
      </w:r>
      <w:r w:rsidR="00117E76">
        <w:rPr>
          <w:rFonts w:ascii="Times New Roman" w:hAnsi="Times New Roman" w:cs="Times New Roman"/>
        </w:rPr>
        <w:t>d</w:t>
      </w:r>
      <w:r w:rsidR="00E72502">
        <w:rPr>
          <w:rFonts w:ascii="Times New Roman" w:hAnsi="Times New Roman" w:cs="Times New Roman"/>
        </w:rPr>
        <w:t xml:space="preserve">ed in the ICISS Report on R2P.  </w:t>
      </w:r>
      <w:r w:rsidR="00400FCC">
        <w:rPr>
          <w:rFonts w:ascii="Times New Roman" w:hAnsi="Times New Roman" w:cs="Times New Roman"/>
        </w:rPr>
        <w:t xml:space="preserve">Based largely on the notion that </w:t>
      </w:r>
      <w:r w:rsidR="00430F13">
        <w:rPr>
          <w:rFonts w:ascii="Times New Roman" w:hAnsi="Times New Roman" w:cs="Times New Roman"/>
        </w:rPr>
        <w:t xml:space="preserve">mass atrocities are a process rather than </w:t>
      </w:r>
      <w:r w:rsidR="00A91A19">
        <w:rPr>
          <w:rFonts w:ascii="Times New Roman" w:hAnsi="Times New Roman" w:cs="Times New Roman"/>
        </w:rPr>
        <w:t>an isolated</w:t>
      </w:r>
      <w:r w:rsidR="00430F13">
        <w:rPr>
          <w:rFonts w:ascii="Times New Roman" w:hAnsi="Times New Roman" w:cs="Times New Roman"/>
        </w:rPr>
        <w:t xml:space="preserve"> event</w:t>
      </w:r>
      <w:r w:rsidR="00A91A19">
        <w:rPr>
          <w:rFonts w:ascii="Times New Roman" w:hAnsi="Times New Roman" w:cs="Times New Roman"/>
        </w:rPr>
        <w:t xml:space="preserve">, the </w:t>
      </w:r>
      <w:r w:rsidR="00607BBD">
        <w:rPr>
          <w:rFonts w:ascii="Times New Roman" w:hAnsi="Times New Roman" w:cs="Times New Roman"/>
        </w:rPr>
        <w:t>U.N.</w:t>
      </w:r>
      <w:r w:rsidR="00A91A19">
        <w:rPr>
          <w:rFonts w:ascii="Times New Roman" w:hAnsi="Times New Roman" w:cs="Times New Roman"/>
        </w:rPr>
        <w:t xml:space="preserve"> Framework</w:t>
      </w:r>
      <w:r w:rsidR="007D0AF7">
        <w:rPr>
          <w:rFonts w:ascii="Times New Roman" w:hAnsi="Times New Roman" w:cs="Times New Roman"/>
        </w:rPr>
        <w:t xml:space="preserve"> delineates broad Risk Factors that apply </w:t>
      </w:r>
      <w:r w:rsidR="00875542">
        <w:rPr>
          <w:rFonts w:ascii="Times New Roman" w:hAnsi="Times New Roman" w:cs="Times New Roman"/>
        </w:rPr>
        <w:t>generally</w:t>
      </w:r>
      <w:r w:rsidR="007D0AF7">
        <w:rPr>
          <w:rFonts w:ascii="Times New Roman" w:hAnsi="Times New Roman" w:cs="Times New Roman"/>
        </w:rPr>
        <w:t xml:space="preserve"> to </w:t>
      </w:r>
      <w:r w:rsidR="00875542">
        <w:rPr>
          <w:rFonts w:ascii="Times New Roman" w:hAnsi="Times New Roman" w:cs="Times New Roman"/>
        </w:rPr>
        <w:t>all mass atrocities, as well as Risk Factors specific to each mass atrocity.</w:t>
      </w:r>
      <w:r w:rsidR="001648AE">
        <w:rPr>
          <w:rStyle w:val="FootnoteReference"/>
          <w:rFonts w:ascii="Times New Roman" w:hAnsi="Times New Roman" w:cs="Times New Roman"/>
        </w:rPr>
        <w:footnoteReference w:id="115"/>
      </w:r>
      <w:r w:rsidR="00E72502">
        <w:rPr>
          <w:rFonts w:ascii="Times New Roman" w:hAnsi="Times New Roman" w:cs="Times New Roman"/>
        </w:rPr>
        <w:t xml:space="preserve"> </w:t>
      </w:r>
    </w:p>
    <w:p w14:paraId="6DD1B571" w14:textId="21F8BCEE" w:rsidR="00E10585" w:rsidRDefault="0006623F" w:rsidP="006009D2">
      <w:pPr>
        <w:widowControl w:val="0"/>
        <w:autoSpaceDE w:val="0"/>
        <w:autoSpaceDN w:val="0"/>
        <w:adjustRightInd w:val="0"/>
        <w:spacing w:after="240"/>
        <w:ind w:firstLine="720"/>
        <w:contextualSpacing/>
        <w:jc w:val="both"/>
        <w:rPr>
          <w:rFonts w:ascii="Times" w:hAnsi="Times" w:cs="Times"/>
        </w:rPr>
      </w:pPr>
      <w:r>
        <w:rPr>
          <w:rFonts w:ascii="Times New Roman" w:hAnsi="Times New Roman" w:cs="Times New Roman"/>
        </w:rPr>
        <w:t>The</w:t>
      </w:r>
      <w:r w:rsidR="00E10585">
        <w:rPr>
          <w:rFonts w:ascii="Times New Roman" w:hAnsi="Times New Roman" w:cs="Times New Roman"/>
        </w:rPr>
        <w:t>se</w:t>
      </w:r>
      <w:r>
        <w:rPr>
          <w:rFonts w:ascii="Times New Roman" w:hAnsi="Times New Roman" w:cs="Times New Roman"/>
        </w:rPr>
        <w:t xml:space="preserve"> Risk Factors cover a wide variety of potential issues spann</w:t>
      </w:r>
      <w:r w:rsidR="00A479D9">
        <w:rPr>
          <w:rFonts w:ascii="Times New Roman" w:hAnsi="Times New Roman" w:cs="Times New Roman"/>
        </w:rPr>
        <w:t>ing many phases of the process</w:t>
      </w:r>
      <w:r w:rsidR="000909C4">
        <w:rPr>
          <w:rFonts w:ascii="Times New Roman" w:hAnsi="Times New Roman" w:cs="Times New Roman"/>
        </w:rPr>
        <w:t xml:space="preserve"> of mass atrocity</w:t>
      </w:r>
      <w:r w:rsidR="00117E76">
        <w:rPr>
          <w:rFonts w:ascii="Times New Roman" w:hAnsi="Times New Roman" w:cs="Times New Roman"/>
        </w:rPr>
        <w:t xml:space="preserve">.  </w:t>
      </w:r>
      <w:r w:rsidR="00112D2C">
        <w:rPr>
          <w:rFonts w:ascii="Times New Roman" w:hAnsi="Times New Roman" w:cs="Times New Roman"/>
        </w:rPr>
        <w:t xml:space="preserve">There are eight common Risk Factors, and two </w:t>
      </w:r>
      <w:r w:rsidR="00154C8F">
        <w:rPr>
          <w:rFonts w:ascii="Times New Roman" w:hAnsi="Times New Roman" w:cs="Times New Roman"/>
        </w:rPr>
        <w:t>specific Risk Factors for each of the three atrocity crimes.</w:t>
      </w:r>
      <w:r w:rsidR="00154C8F">
        <w:rPr>
          <w:rStyle w:val="FootnoteReference"/>
          <w:rFonts w:ascii="Times New Roman" w:hAnsi="Times New Roman" w:cs="Times New Roman"/>
        </w:rPr>
        <w:footnoteReference w:id="116"/>
      </w:r>
      <w:r w:rsidR="00117E76">
        <w:rPr>
          <w:rFonts w:ascii="Times New Roman" w:hAnsi="Times New Roman" w:cs="Times New Roman"/>
        </w:rPr>
        <w:t xml:space="preserve">  </w:t>
      </w:r>
      <w:r w:rsidR="00D234BC">
        <w:rPr>
          <w:rFonts w:ascii="Times New Roman" w:hAnsi="Times New Roman" w:cs="Times New Roman"/>
        </w:rPr>
        <w:t xml:space="preserve">The specific Risk Factors exist to address the </w:t>
      </w:r>
      <w:r w:rsidR="004F2BB5">
        <w:rPr>
          <w:rFonts w:ascii="Times New Roman" w:hAnsi="Times New Roman" w:cs="Times New Roman"/>
        </w:rPr>
        <w:t>elements of each atrocity crime, and their respective precursors.</w:t>
      </w:r>
      <w:r w:rsidR="004F2BB5">
        <w:rPr>
          <w:rStyle w:val="FootnoteReference"/>
          <w:rFonts w:ascii="Times New Roman" w:hAnsi="Times New Roman" w:cs="Times New Roman"/>
        </w:rPr>
        <w:footnoteReference w:id="117"/>
      </w:r>
      <w:r w:rsidR="00E72502">
        <w:rPr>
          <w:rFonts w:ascii="Times New Roman" w:hAnsi="Times New Roman" w:cs="Times New Roman"/>
        </w:rPr>
        <w:t xml:space="preserve"> </w:t>
      </w:r>
      <w:r w:rsidR="002B3B6C">
        <w:rPr>
          <w:rFonts w:ascii="Times New Roman" w:hAnsi="Times New Roman" w:cs="Times New Roman"/>
        </w:rPr>
        <w:t xml:space="preserve"> </w:t>
      </w:r>
      <w:r w:rsidR="00E10585">
        <w:rPr>
          <w:rFonts w:ascii="Times New Roman" w:hAnsi="Times New Roman" w:cs="Times New Roman"/>
          <w:color w:val="000000" w:themeColor="text1"/>
        </w:rPr>
        <w:t>One such specific Risk Factor is Risk Factor 7: Enabling Circumstances and Preparatory Action.</w:t>
      </w:r>
      <w:r w:rsidR="00E10585">
        <w:rPr>
          <w:rStyle w:val="FootnoteReference"/>
          <w:rFonts w:ascii="Times New Roman" w:hAnsi="Times New Roman" w:cs="Times New Roman"/>
          <w:color w:val="000000" w:themeColor="text1"/>
        </w:rPr>
        <w:footnoteReference w:id="118"/>
      </w:r>
      <w:r w:rsidR="00E10585">
        <w:rPr>
          <w:rFonts w:ascii="Times New Roman" w:hAnsi="Times New Roman" w:cs="Times New Roman"/>
          <w:color w:val="000000" w:themeColor="text1"/>
        </w:rPr>
        <w:t xml:space="preserve">  This Risk </w:t>
      </w:r>
      <w:r w:rsidR="00E10585">
        <w:rPr>
          <w:rFonts w:ascii="Times New Roman" w:hAnsi="Times New Roman" w:cs="Times New Roman"/>
          <w:color w:val="000000" w:themeColor="text1"/>
        </w:rPr>
        <w:lastRenderedPageBreak/>
        <w:t>Factor addresses events such as “</w:t>
      </w:r>
      <w:r w:rsidR="00E10585" w:rsidRPr="002D2A28">
        <w:rPr>
          <w:rFonts w:ascii="Times New Roman" w:hAnsi="Times New Roman" w:cs="Times New Roman"/>
          <w:color w:val="000000" w:themeColor="text1"/>
        </w:rPr>
        <w:t>Marking of peopl</w:t>
      </w:r>
      <w:r w:rsidR="00E10585">
        <w:rPr>
          <w:rFonts w:ascii="Times New Roman" w:hAnsi="Times New Roman" w:cs="Times New Roman"/>
          <w:color w:val="000000" w:themeColor="text1"/>
        </w:rPr>
        <w:t>e or their property based on affiliation to a group</w:t>
      </w:r>
      <w:r w:rsidR="00E10585">
        <w:rPr>
          <w:rFonts w:asciiTheme="majorBidi" w:hAnsiTheme="majorBidi" w:cstheme="majorBidi"/>
          <w:color w:val="000000" w:themeColor="text1"/>
        </w:rPr>
        <w:t>,”</w:t>
      </w:r>
      <w:r w:rsidR="00E10585">
        <w:rPr>
          <w:rStyle w:val="FootnoteReference"/>
          <w:rFonts w:asciiTheme="majorBidi" w:hAnsiTheme="majorBidi" w:cstheme="majorBidi"/>
          <w:color w:val="000000" w:themeColor="text1"/>
        </w:rPr>
        <w:footnoteReference w:id="119"/>
      </w:r>
      <w:r w:rsidR="00E10585" w:rsidRPr="002D2A28">
        <w:rPr>
          <w:rFonts w:asciiTheme="majorBidi" w:hAnsiTheme="majorBidi" w:cstheme="majorBidi"/>
          <w:color w:val="000000" w:themeColor="text1"/>
        </w:rPr>
        <w:t xml:space="preserve"> </w:t>
      </w:r>
      <w:r w:rsidR="00E10585">
        <w:rPr>
          <w:rFonts w:asciiTheme="majorBidi" w:hAnsiTheme="majorBidi" w:cstheme="majorBidi"/>
          <w:color w:val="000000" w:themeColor="text1"/>
        </w:rPr>
        <w:t>“</w:t>
      </w:r>
      <w:r w:rsidR="00E10585" w:rsidRPr="002D2A28">
        <w:rPr>
          <w:rFonts w:asciiTheme="majorBidi" w:hAnsiTheme="majorBidi" w:cstheme="majorBidi"/>
        </w:rPr>
        <w:t>Imposition of emergency laws or extraordinary security measures that erode fundamental rights</w:t>
      </w:r>
      <w:r w:rsidR="00E10585">
        <w:rPr>
          <w:rFonts w:ascii="Times" w:hAnsi="Times" w:cs="Times"/>
          <w:sz w:val="26"/>
          <w:szCs w:val="26"/>
        </w:rPr>
        <w:t>,”</w:t>
      </w:r>
      <w:r w:rsidR="00E10585">
        <w:rPr>
          <w:rFonts w:ascii="Times" w:hAnsi="Times" w:cs="Times"/>
        </w:rPr>
        <w:t xml:space="preserve"> </w:t>
      </w:r>
      <w:r w:rsidR="00E10585">
        <w:rPr>
          <w:rFonts w:ascii="Times New Roman" w:hAnsi="Times New Roman" w:cs="Times New Roman"/>
          <w:color w:val="000000" w:themeColor="text1"/>
        </w:rPr>
        <w:t>and “[e]</w:t>
      </w:r>
      <w:proofErr w:type="spellStart"/>
      <w:r w:rsidR="00E10585" w:rsidRPr="00060104">
        <w:rPr>
          <w:rFonts w:ascii="Times New Roman" w:hAnsi="Times New Roman" w:cs="Times New Roman"/>
          <w:color w:val="000000" w:themeColor="text1"/>
        </w:rPr>
        <w:t>xpulsion</w:t>
      </w:r>
      <w:proofErr w:type="spellEnd"/>
      <w:r w:rsidR="00E10585" w:rsidRPr="00060104">
        <w:rPr>
          <w:rFonts w:ascii="Times New Roman" w:hAnsi="Times New Roman" w:cs="Times New Roman"/>
          <w:color w:val="000000" w:themeColor="text1"/>
        </w:rPr>
        <w:t xml:space="preserve"> or refusal to allow the presence of NGOs, international organizations, media or other relevant actors, or imposition of severe restrictions on their services and movements</w:t>
      </w:r>
      <w:r w:rsidR="00E10585">
        <w:rPr>
          <w:rFonts w:ascii="Times New Roman" w:hAnsi="Times New Roman" w:cs="Times New Roman"/>
          <w:color w:val="000000" w:themeColor="text1"/>
        </w:rPr>
        <w:t>,”</w:t>
      </w:r>
      <w:r w:rsidR="00E10585">
        <w:rPr>
          <w:rStyle w:val="FootnoteReference"/>
          <w:rFonts w:ascii="Times New Roman" w:hAnsi="Times New Roman" w:cs="Times New Roman"/>
          <w:color w:val="000000" w:themeColor="text1"/>
        </w:rPr>
        <w:footnoteReference w:id="120"/>
      </w:r>
      <w:r w:rsidR="00E10585">
        <w:rPr>
          <w:rFonts w:ascii="Times New Roman" w:hAnsi="Times New Roman" w:cs="Times New Roman"/>
          <w:color w:val="000000" w:themeColor="text1"/>
        </w:rPr>
        <w:t xml:space="preserve"> among many other such acts. </w:t>
      </w:r>
      <w:r w:rsidR="00617B68">
        <w:rPr>
          <w:rFonts w:ascii="Times New Roman" w:hAnsi="Times New Roman" w:cs="Times New Roman"/>
          <w:color w:val="000000" w:themeColor="text1"/>
        </w:rPr>
        <w:t xml:space="preserve"> </w:t>
      </w:r>
      <w:r w:rsidR="00E10585">
        <w:rPr>
          <w:rFonts w:ascii="Times New Roman" w:hAnsi="Times New Roman" w:cs="Times New Roman"/>
          <w:color w:val="000000" w:themeColor="text1"/>
        </w:rPr>
        <w:t xml:space="preserve">The Framework explains that such acts are indicative of progression along the process of mass atrocity, and should be regarded as serious warning signs. </w:t>
      </w:r>
    </w:p>
    <w:p w14:paraId="212AA8B0" w14:textId="1D8911BA" w:rsidR="00E10585" w:rsidRPr="002D2A28" w:rsidRDefault="00E10585" w:rsidP="006009D2">
      <w:pPr>
        <w:widowControl w:val="0"/>
        <w:autoSpaceDE w:val="0"/>
        <w:autoSpaceDN w:val="0"/>
        <w:adjustRightInd w:val="0"/>
        <w:spacing w:after="240"/>
        <w:ind w:firstLine="720"/>
        <w:contextualSpacing/>
        <w:jc w:val="both"/>
        <w:rPr>
          <w:rFonts w:ascii="Times" w:hAnsi="Times" w:cs="Times"/>
        </w:rPr>
      </w:pPr>
      <w:r w:rsidRPr="00AD5AE8">
        <w:rPr>
          <w:rFonts w:ascii="Times New Roman" w:hAnsi="Times New Roman" w:cs="Times New Roman"/>
          <w:color w:val="000000" w:themeColor="text1"/>
        </w:rPr>
        <w:t>There are several reasons why this Note will focus on Risk Factor 7 as opposed to the other</w:t>
      </w:r>
      <w:r>
        <w:rPr>
          <w:rFonts w:ascii="Times New Roman" w:hAnsi="Times New Roman" w:cs="Times New Roman"/>
          <w:color w:val="000000" w:themeColor="text1"/>
        </w:rPr>
        <w:t xml:space="preserve"> Risk Factors in the Framework.  </w:t>
      </w:r>
      <w:r w:rsidRPr="00AD5AE8">
        <w:rPr>
          <w:rFonts w:ascii="Times New Roman" w:hAnsi="Times New Roman" w:cs="Times New Roman"/>
          <w:color w:val="000000" w:themeColor="text1"/>
        </w:rPr>
        <w:t>The first reason is that Risk Factor 7 is a common Risk Factor, which means that it applies to each of the three atrocity crimes.</w:t>
      </w:r>
      <w:r>
        <w:rPr>
          <w:rStyle w:val="FootnoteReference"/>
          <w:rFonts w:ascii="Times New Roman" w:hAnsi="Times New Roman" w:cs="Times New Roman"/>
          <w:color w:val="000000" w:themeColor="text1"/>
        </w:rPr>
        <w:footnoteReference w:id="121"/>
      </w:r>
      <w:r>
        <w:rPr>
          <w:rFonts w:ascii="Times New Roman" w:hAnsi="Times New Roman" w:cs="Times New Roman"/>
          <w:color w:val="000000" w:themeColor="text1"/>
        </w:rPr>
        <w:t xml:space="preserve">  </w:t>
      </w:r>
      <w:r w:rsidRPr="00AD5AE8">
        <w:rPr>
          <w:rFonts w:ascii="Times New Roman" w:hAnsi="Times New Roman" w:cs="Times New Roman"/>
          <w:color w:val="000000" w:themeColor="text1"/>
        </w:rPr>
        <w:t xml:space="preserve">If this Note were to focus on </w:t>
      </w:r>
      <w:r>
        <w:rPr>
          <w:rFonts w:ascii="Times New Roman" w:hAnsi="Times New Roman" w:cs="Times New Roman"/>
          <w:color w:val="000000" w:themeColor="text1"/>
        </w:rPr>
        <w:t xml:space="preserve">one of the </w:t>
      </w:r>
      <w:r w:rsidRPr="00AD5AE8">
        <w:rPr>
          <w:rFonts w:ascii="Times New Roman" w:hAnsi="Times New Roman" w:cs="Times New Roman"/>
          <w:color w:val="000000" w:themeColor="text1"/>
        </w:rPr>
        <w:t>specific Risk Factor</w:t>
      </w:r>
      <w:r>
        <w:rPr>
          <w:rFonts w:ascii="Times New Roman" w:hAnsi="Times New Roman" w:cs="Times New Roman"/>
          <w:color w:val="000000" w:themeColor="text1"/>
        </w:rPr>
        <w:t>s</w:t>
      </w:r>
      <w:r w:rsidRPr="00AD5AE8">
        <w:rPr>
          <w:rFonts w:ascii="Times New Roman" w:hAnsi="Times New Roman" w:cs="Times New Roman"/>
          <w:color w:val="000000" w:themeColor="text1"/>
        </w:rPr>
        <w:t>, the system of prevention would only serve to eliminate a single atrocity crime; or alternatively, the creation of three separate prevention systems</w:t>
      </w:r>
      <w:r>
        <w:rPr>
          <w:rFonts w:ascii="Times New Roman" w:hAnsi="Times New Roman" w:cs="Times New Roman"/>
          <w:color w:val="000000" w:themeColor="text1"/>
        </w:rPr>
        <w:t xml:space="preserve"> would be required.  </w:t>
      </w:r>
      <w:r w:rsidRPr="00AD5AE8">
        <w:rPr>
          <w:rFonts w:ascii="Times New Roman" w:hAnsi="Times New Roman" w:cs="Times New Roman"/>
          <w:color w:val="000000" w:themeColor="text1"/>
        </w:rPr>
        <w:t>Risk Factor 7 was also selected due to the vi</w:t>
      </w:r>
      <w:r>
        <w:rPr>
          <w:rFonts w:ascii="Times New Roman" w:hAnsi="Times New Roman" w:cs="Times New Roman"/>
          <w:color w:val="000000" w:themeColor="text1"/>
        </w:rPr>
        <w:t xml:space="preserve">sible nature of its indicators.  </w:t>
      </w:r>
      <w:r w:rsidRPr="00AD5AE8">
        <w:rPr>
          <w:rFonts w:ascii="Times New Roman" w:hAnsi="Times New Roman" w:cs="Times New Roman"/>
          <w:color w:val="000000" w:themeColor="text1"/>
        </w:rPr>
        <w:t>Certain Risk Factors contain indicators that are difficult to</w:t>
      </w:r>
      <w:r>
        <w:rPr>
          <w:rFonts w:ascii="Times New Roman" w:hAnsi="Times New Roman" w:cs="Times New Roman"/>
          <w:color w:val="000000" w:themeColor="text1"/>
        </w:rPr>
        <w:t xml:space="preserve"> observe or measure, which makes their presence refutable.  For example, Risk Factor 6, Absence of Mitigating Factors, contains indicators such as </w:t>
      </w:r>
      <w:r>
        <w:rPr>
          <w:rFonts w:ascii="Times New Roman" w:hAnsi="Times New Roman" w:cs="Times New Roman"/>
          <w:color w:val="000000" w:themeColor="text1"/>
        </w:rPr>
        <w:lastRenderedPageBreak/>
        <w:t>“</w:t>
      </w:r>
      <w:r w:rsidRPr="00F7117D">
        <w:rPr>
          <w:rFonts w:ascii="Times New Roman" w:hAnsi="Times New Roman" w:cs="Times New Roman"/>
          <w:color w:val="000000" w:themeColor="text1"/>
        </w:rPr>
        <w:t>Limited or lack of empowerment processes, resources, allies or other elements that could contribute to the ability of protected groups, populations or ind</w:t>
      </w:r>
      <w:r>
        <w:rPr>
          <w:rFonts w:ascii="Times New Roman" w:hAnsi="Times New Roman" w:cs="Times New Roman"/>
          <w:color w:val="000000" w:themeColor="text1"/>
        </w:rPr>
        <w:t>ividuals to protect themselves;”</w:t>
      </w:r>
      <w:r>
        <w:rPr>
          <w:rStyle w:val="FootnoteReference"/>
          <w:rFonts w:ascii="Times New Roman" w:hAnsi="Times New Roman" w:cs="Times New Roman"/>
          <w:color w:val="000000" w:themeColor="text1"/>
        </w:rPr>
        <w:footnoteReference w:id="122"/>
      </w:r>
      <w:r>
        <w:rPr>
          <w:rFonts w:ascii="Times New Roman" w:hAnsi="Times New Roman" w:cs="Times New Roman"/>
          <w:color w:val="000000" w:themeColor="text1"/>
        </w:rPr>
        <w:t xml:space="preserve"> and “</w:t>
      </w:r>
      <w:r w:rsidRPr="00F7117D">
        <w:rPr>
          <w:rFonts w:ascii="Times New Roman" w:hAnsi="Times New Roman" w:cs="Times New Roman"/>
          <w:color w:val="000000" w:themeColor="text1"/>
        </w:rPr>
        <w:t>Lack of a strong, organized and representative national civil society and of a free, diverse and independent national media.</w:t>
      </w:r>
      <w:r>
        <w:rPr>
          <w:rFonts w:ascii="Times New Roman" w:hAnsi="Times New Roman" w:cs="Times New Roman"/>
          <w:color w:val="000000" w:themeColor="text1"/>
        </w:rPr>
        <w:t>”</w:t>
      </w:r>
      <w:r>
        <w:rPr>
          <w:rStyle w:val="FootnoteReference"/>
          <w:rFonts w:ascii="Times New Roman" w:hAnsi="Times New Roman" w:cs="Times New Roman"/>
          <w:color w:val="000000" w:themeColor="text1"/>
        </w:rPr>
        <w:footnoteReference w:id="123"/>
      </w:r>
      <w:r w:rsidR="00C278E4">
        <w:rPr>
          <w:rFonts w:ascii="Times New Roman" w:hAnsi="Times New Roman" w:cs="Times New Roman"/>
          <w:color w:val="000000" w:themeColor="text1"/>
        </w:rPr>
        <w:t xml:space="preserve">  Criteria such as these</w:t>
      </w:r>
      <w:r>
        <w:rPr>
          <w:rFonts w:ascii="Times New Roman" w:hAnsi="Times New Roman" w:cs="Times New Roman"/>
          <w:color w:val="000000" w:themeColor="text1"/>
        </w:rPr>
        <w:t xml:space="preserve"> are difficult to measure, and their presence or absence is more easily refuted than the aforementioned indicators from Risk Factor 7. </w:t>
      </w:r>
      <w:r w:rsidR="002B3B6C">
        <w:rPr>
          <w:rFonts w:ascii="Times New Roman" w:hAnsi="Times New Roman" w:cs="Times New Roman"/>
          <w:color w:val="000000" w:themeColor="text1"/>
        </w:rPr>
        <w:t xml:space="preserve"> </w:t>
      </w:r>
      <w:r w:rsidR="002C286D">
        <w:rPr>
          <w:rFonts w:ascii="Times New Roman" w:hAnsi="Times New Roman" w:cs="Times New Roman"/>
          <w:color w:val="000000" w:themeColor="text1"/>
        </w:rPr>
        <w:t>As such, this Note will solely focus on Risk Factor 7; however, that is not to say that it would be impossible to develop systems of early intervention based on other Risk Factors in the future.</w:t>
      </w:r>
      <w:r w:rsidRPr="00F7117D">
        <w:rPr>
          <w:rFonts w:ascii="Times New Roman" w:hAnsi="Times New Roman" w:cs="Times New Roman"/>
          <w:color w:val="000000" w:themeColor="text1"/>
        </w:rPr>
        <w:t xml:space="preserve"> </w:t>
      </w:r>
    </w:p>
    <w:p w14:paraId="0679305A" w14:textId="77777777" w:rsidR="00AC6D31" w:rsidRPr="00852509" w:rsidRDefault="00AC6D31" w:rsidP="006009D2">
      <w:pPr>
        <w:widowControl w:val="0"/>
        <w:autoSpaceDE w:val="0"/>
        <w:autoSpaceDN w:val="0"/>
        <w:adjustRightInd w:val="0"/>
        <w:jc w:val="both"/>
        <w:rPr>
          <w:rFonts w:ascii="Times New Roman" w:hAnsi="Times New Roman" w:cs="Times New Roman"/>
        </w:rPr>
      </w:pPr>
    </w:p>
    <w:p w14:paraId="71A6A651" w14:textId="6ED1B748" w:rsidR="00EA39DB" w:rsidRPr="00AB6113" w:rsidRDefault="00072D42" w:rsidP="00AB6113">
      <w:pPr>
        <w:widowControl w:val="0"/>
        <w:autoSpaceDE w:val="0"/>
        <w:autoSpaceDN w:val="0"/>
        <w:adjustRightInd w:val="0"/>
        <w:jc w:val="center"/>
        <w:rPr>
          <w:smallCaps/>
        </w:rPr>
      </w:pPr>
      <w:r w:rsidRPr="00AB6113">
        <w:rPr>
          <w:rFonts w:ascii="Times New Roman" w:hAnsi="Times New Roman" w:cs="Times New Roman"/>
          <w:smallCaps/>
        </w:rPr>
        <w:t xml:space="preserve">III.  </w:t>
      </w:r>
      <w:r w:rsidR="00117E76" w:rsidRPr="00AB6113">
        <w:rPr>
          <w:rFonts w:ascii="Times New Roman" w:hAnsi="Times New Roman" w:cs="Times New Roman"/>
          <w:smallCaps/>
        </w:rPr>
        <w:t>Discussion</w:t>
      </w:r>
    </w:p>
    <w:p w14:paraId="7240AF9B" w14:textId="77777777" w:rsidR="00AC6D31" w:rsidRPr="00852509" w:rsidRDefault="00AC6D31" w:rsidP="006009D2">
      <w:pPr>
        <w:pStyle w:val="ListParagraph"/>
        <w:widowControl w:val="0"/>
        <w:autoSpaceDE w:val="0"/>
        <w:autoSpaceDN w:val="0"/>
        <w:adjustRightInd w:val="0"/>
        <w:ind w:left="1080"/>
        <w:jc w:val="center"/>
        <w:rPr>
          <w:smallCaps/>
        </w:rPr>
      </w:pPr>
    </w:p>
    <w:p w14:paraId="369DAF04" w14:textId="7E714834" w:rsidR="00AC6D31" w:rsidRPr="00AB6113" w:rsidRDefault="00072D42" w:rsidP="007D30EA">
      <w:pPr>
        <w:widowControl w:val="0"/>
        <w:autoSpaceDE w:val="0"/>
        <w:autoSpaceDN w:val="0"/>
        <w:adjustRightInd w:val="0"/>
        <w:jc w:val="center"/>
        <w:rPr>
          <w:smallCaps/>
        </w:rPr>
      </w:pPr>
      <w:r w:rsidRPr="00AB6113">
        <w:rPr>
          <w:rFonts w:asciiTheme="majorBidi" w:hAnsiTheme="majorBidi" w:cstheme="majorBidi"/>
          <w:iCs/>
        </w:rPr>
        <w:t xml:space="preserve">A.  </w:t>
      </w:r>
      <w:r w:rsidR="00985867" w:rsidRPr="00AB6113">
        <w:rPr>
          <w:rFonts w:asciiTheme="majorBidi" w:hAnsiTheme="majorBidi" w:cstheme="majorBidi"/>
          <w:i/>
          <w:iCs/>
        </w:rPr>
        <w:t xml:space="preserve">An Overview of the </w:t>
      </w:r>
      <w:r w:rsidR="002F231C" w:rsidRPr="00AB6113">
        <w:rPr>
          <w:rFonts w:asciiTheme="majorBidi" w:hAnsiTheme="majorBidi" w:cstheme="majorBidi"/>
          <w:i/>
          <w:iCs/>
        </w:rPr>
        <w:t xml:space="preserve">Shortcomings of Prosecution </w:t>
      </w:r>
      <w:r w:rsidR="00985867" w:rsidRPr="00AB6113">
        <w:rPr>
          <w:rFonts w:asciiTheme="majorBidi" w:hAnsiTheme="majorBidi" w:cstheme="majorBidi"/>
          <w:i/>
          <w:iCs/>
        </w:rPr>
        <w:t>and Military Intervention as Preventative</w:t>
      </w:r>
      <w:r w:rsidR="002F231C" w:rsidRPr="00AB6113">
        <w:rPr>
          <w:rFonts w:asciiTheme="majorBidi" w:hAnsiTheme="majorBidi" w:cstheme="majorBidi"/>
          <w:i/>
          <w:iCs/>
        </w:rPr>
        <w:t xml:space="preserve"> Mechanism</w:t>
      </w:r>
      <w:r w:rsidR="00985867" w:rsidRPr="00AB6113">
        <w:rPr>
          <w:rFonts w:asciiTheme="majorBidi" w:hAnsiTheme="majorBidi" w:cstheme="majorBidi"/>
          <w:i/>
          <w:iCs/>
        </w:rPr>
        <w:t>s</w:t>
      </w:r>
    </w:p>
    <w:p w14:paraId="2CE2C137" w14:textId="77777777" w:rsidR="00985867" w:rsidRPr="005C7095" w:rsidRDefault="00985867" w:rsidP="006009D2">
      <w:pPr>
        <w:pStyle w:val="ListParagraph"/>
        <w:widowControl w:val="0"/>
        <w:autoSpaceDE w:val="0"/>
        <w:autoSpaceDN w:val="0"/>
        <w:adjustRightInd w:val="0"/>
        <w:ind w:left="1080"/>
        <w:rPr>
          <w:smallCaps/>
        </w:rPr>
      </w:pPr>
    </w:p>
    <w:p w14:paraId="60773085" w14:textId="414C2AC6" w:rsidR="001242D7" w:rsidRDefault="00BE4CEF" w:rsidP="006009D2">
      <w:pPr>
        <w:widowControl w:val="0"/>
        <w:autoSpaceDE w:val="0"/>
        <w:autoSpaceDN w:val="0"/>
        <w:adjustRightInd w:val="0"/>
        <w:ind w:firstLine="720"/>
        <w:jc w:val="both"/>
        <w:rPr>
          <w:rFonts w:ascii="Times New Roman" w:hAnsi="Times New Roman" w:cs="Times New Roman"/>
        </w:rPr>
      </w:pPr>
      <w:r w:rsidRPr="00BE4CEF">
        <w:rPr>
          <w:rFonts w:ascii="Times New Roman" w:hAnsi="Times New Roman" w:cs="Times New Roman"/>
        </w:rPr>
        <w:t xml:space="preserve">International criminal law has played a </w:t>
      </w:r>
      <w:r w:rsidR="007332E4">
        <w:rPr>
          <w:rFonts w:ascii="Times New Roman" w:hAnsi="Times New Roman" w:cs="Times New Roman"/>
        </w:rPr>
        <w:t>significant</w:t>
      </w:r>
      <w:r w:rsidR="00E72502">
        <w:rPr>
          <w:rFonts w:ascii="Times New Roman" w:hAnsi="Times New Roman" w:cs="Times New Roman"/>
        </w:rPr>
        <w:t xml:space="preserve"> role in post-</w:t>
      </w:r>
      <w:r w:rsidRPr="00BE4CEF">
        <w:rPr>
          <w:rFonts w:ascii="Times New Roman" w:hAnsi="Times New Roman" w:cs="Times New Roman"/>
        </w:rPr>
        <w:t xml:space="preserve">atrocity processes </w:t>
      </w:r>
      <w:r w:rsidR="002C286D">
        <w:rPr>
          <w:rFonts w:ascii="Times New Roman" w:hAnsi="Times New Roman" w:cs="Times New Roman"/>
        </w:rPr>
        <w:t xml:space="preserve">of conciliation and transitional justice </w:t>
      </w:r>
      <w:r w:rsidRPr="00BE4CEF">
        <w:rPr>
          <w:rFonts w:ascii="Times New Roman" w:hAnsi="Times New Roman" w:cs="Times New Roman"/>
        </w:rPr>
        <w:t>for many years.</w:t>
      </w:r>
      <w:r w:rsidR="00E72502">
        <w:rPr>
          <w:rFonts w:ascii="Times New Roman" w:hAnsi="Times New Roman" w:cs="Times New Roman"/>
        </w:rPr>
        <w:t xml:space="preserve">  </w:t>
      </w:r>
      <w:r>
        <w:rPr>
          <w:rFonts w:ascii="Times New Roman" w:hAnsi="Times New Roman" w:cs="Times New Roman"/>
        </w:rPr>
        <w:t>And, much like in the domestic system, the threat of prosecution is designed to act as a deterrent to prevent individuals from perpetrating atrocity crimes.</w:t>
      </w:r>
      <w:r w:rsidR="004269BE">
        <w:rPr>
          <w:rStyle w:val="FootnoteReference"/>
          <w:rFonts w:ascii="Times New Roman" w:hAnsi="Times New Roman" w:cs="Times New Roman"/>
        </w:rPr>
        <w:footnoteReference w:id="124"/>
      </w:r>
      <w:r w:rsidR="00E72502">
        <w:rPr>
          <w:rFonts w:ascii="Times New Roman" w:hAnsi="Times New Roman" w:cs="Times New Roman"/>
        </w:rPr>
        <w:t xml:space="preserve">  </w:t>
      </w:r>
      <w:r>
        <w:rPr>
          <w:rFonts w:ascii="Times New Roman" w:hAnsi="Times New Roman" w:cs="Times New Roman"/>
        </w:rPr>
        <w:t>However, prosecution and military intervention should not be thought of as the only availabl</w:t>
      </w:r>
      <w:r w:rsidR="00583CF0">
        <w:rPr>
          <w:rFonts w:ascii="Times New Roman" w:hAnsi="Times New Roman" w:cs="Times New Roman"/>
        </w:rPr>
        <w:t>e</w:t>
      </w:r>
      <w:r w:rsidR="00E72502">
        <w:rPr>
          <w:rFonts w:ascii="Times New Roman" w:hAnsi="Times New Roman" w:cs="Times New Roman"/>
        </w:rPr>
        <w:t xml:space="preserve"> means of atrocity prevention</w:t>
      </w:r>
      <w:r w:rsidR="002A04F1">
        <w:rPr>
          <w:rFonts w:ascii="Times New Roman" w:hAnsi="Times New Roman" w:cs="Times New Roman"/>
        </w:rPr>
        <w:t xml:space="preserve">, and it can be argued that they are not wholly effective in the first place. </w:t>
      </w:r>
    </w:p>
    <w:p w14:paraId="2F945E2E" w14:textId="3BEC1439" w:rsidR="00985867" w:rsidRDefault="00985867" w:rsidP="00E5390B">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 xml:space="preserve">Military intervention is not </w:t>
      </w:r>
      <w:r w:rsidR="00E5390B">
        <w:rPr>
          <w:rFonts w:ascii="Times New Roman" w:hAnsi="Times New Roman" w:cs="Times New Roman"/>
        </w:rPr>
        <w:t>only</w:t>
      </w:r>
      <w:r>
        <w:rPr>
          <w:rFonts w:ascii="Times New Roman" w:hAnsi="Times New Roman" w:cs="Times New Roman"/>
        </w:rPr>
        <w:t xml:space="preserve"> problematic for the reasons outlined in </w:t>
      </w:r>
      <w:r w:rsidR="007373E2">
        <w:rPr>
          <w:rFonts w:ascii="Times New Roman" w:hAnsi="Times New Roman" w:cs="Times New Roman"/>
        </w:rPr>
        <w:t>Section</w:t>
      </w:r>
      <w:r w:rsidR="003D4321">
        <w:rPr>
          <w:rFonts w:ascii="Times New Roman" w:hAnsi="Times New Roman" w:cs="Times New Roman"/>
        </w:rPr>
        <w:t xml:space="preserve"> II (A), but so-called humanitarian intervention often costs more lives than it saves.</w:t>
      </w:r>
      <w:r w:rsidR="003D4321">
        <w:rPr>
          <w:rStyle w:val="FootnoteReference"/>
          <w:rFonts w:ascii="Times New Roman" w:hAnsi="Times New Roman" w:cs="Times New Roman"/>
        </w:rPr>
        <w:footnoteReference w:id="125"/>
      </w:r>
      <w:r w:rsidR="003C6F8E">
        <w:rPr>
          <w:rFonts w:ascii="Times New Roman" w:hAnsi="Times New Roman" w:cs="Times New Roman"/>
        </w:rPr>
        <w:t xml:space="preserve">  </w:t>
      </w:r>
      <w:r w:rsidR="003D4321">
        <w:rPr>
          <w:rFonts w:ascii="Times New Roman" w:hAnsi="Times New Roman" w:cs="Times New Roman"/>
        </w:rPr>
        <w:t>While collateral damage</w:t>
      </w:r>
      <w:r w:rsidR="00C04141">
        <w:rPr>
          <w:rFonts w:ascii="Times New Roman" w:hAnsi="Times New Roman" w:cs="Times New Roman"/>
        </w:rPr>
        <w:t xml:space="preserve"> is permissible under </w:t>
      </w:r>
      <w:r w:rsidR="00794B21">
        <w:rPr>
          <w:rFonts w:ascii="Times New Roman" w:hAnsi="Times New Roman" w:cs="Times New Roman"/>
        </w:rPr>
        <w:t xml:space="preserve">IHL, the primary purpose of atrocity prevention is to </w:t>
      </w:r>
      <w:r w:rsidR="008F7B61">
        <w:rPr>
          <w:rFonts w:ascii="Times New Roman" w:hAnsi="Times New Roman" w:cs="Times New Roman"/>
        </w:rPr>
        <w:t>avert</w:t>
      </w:r>
      <w:r w:rsidR="00794B21">
        <w:rPr>
          <w:rFonts w:ascii="Times New Roman" w:hAnsi="Times New Roman" w:cs="Times New Roman"/>
        </w:rPr>
        <w:t xml:space="preserve"> </w:t>
      </w:r>
      <w:r w:rsidR="008F7B61">
        <w:rPr>
          <w:rFonts w:ascii="Times New Roman" w:hAnsi="Times New Roman" w:cs="Times New Roman"/>
        </w:rPr>
        <w:t xml:space="preserve">any and all </w:t>
      </w:r>
      <w:r w:rsidR="00794B21">
        <w:rPr>
          <w:rFonts w:ascii="Times New Roman" w:hAnsi="Times New Roman" w:cs="Times New Roman"/>
        </w:rPr>
        <w:t>unnecessary violence.</w:t>
      </w:r>
      <w:r w:rsidR="00794B21">
        <w:rPr>
          <w:rStyle w:val="FootnoteReference"/>
          <w:rFonts w:ascii="Times New Roman" w:hAnsi="Times New Roman" w:cs="Times New Roman"/>
        </w:rPr>
        <w:footnoteReference w:id="126"/>
      </w:r>
      <w:r w:rsidR="00794B21">
        <w:rPr>
          <w:rFonts w:ascii="Times New Roman" w:hAnsi="Times New Roman" w:cs="Times New Roman"/>
        </w:rPr>
        <w:t xml:space="preserve">  </w:t>
      </w:r>
      <w:r w:rsidR="008F7B61">
        <w:rPr>
          <w:rFonts w:ascii="Times New Roman" w:hAnsi="Times New Roman" w:cs="Times New Roman"/>
        </w:rPr>
        <w:t xml:space="preserve">It seems counter-intuitive to prevent violence with further violence.  </w:t>
      </w:r>
      <w:r w:rsidR="00794B21">
        <w:rPr>
          <w:rFonts w:ascii="Times New Roman" w:hAnsi="Times New Roman" w:cs="Times New Roman"/>
        </w:rPr>
        <w:t xml:space="preserve">If there are less </w:t>
      </w:r>
      <w:r w:rsidR="00794B21">
        <w:rPr>
          <w:rFonts w:ascii="Times New Roman" w:hAnsi="Times New Roman" w:cs="Times New Roman"/>
        </w:rPr>
        <w:lastRenderedPageBreak/>
        <w:t>violent means</w:t>
      </w:r>
      <w:r w:rsidR="00E5390B">
        <w:rPr>
          <w:rFonts w:ascii="Times New Roman" w:hAnsi="Times New Roman" w:cs="Times New Roman"/>
        </w:rPr>
        <w:t xml:space="preserve"> for preventing atrocities, such</w:t>
      </w:r>
      <w:r w:rsidR="00794B21">
        <w:rPr>
          <w:rFonts w:ascii="Times New Roman" w:hAnsi="Times New Roman" w:cs="Times New Roman"/>
        </w:rPr>
        <w:t xml:space="preserve"> methods should be utilized first.</w:t>
      </w:r>
    </w:p>
    <w:p w14:paraId="0673514F" w14:textId="0A2A4FD6" w:rsidR="00794B21" w:rsidRPr="002C286D" w:rsidRDefault="003412D6" w:rsidP="00E5390B">
      <w:pPr>
        <w:widowControl w:val="0"/>
        <w:autoSpaceDE w:val="0"/>
        <w:autoSpaceDN w:val="0"/>
        <w:adjustRightInd w:val="0"/>
        <w:ind w:firstLine="720"/>
        <w:jc w:val="both"/>
        <w:rPr>
          <w:rFonts w:ascii="Times New Roman" w:hAnsi="Times New Roman" w:cs="Times New Roman"/>
          <w:color w:val="FF0000"/>
        </w:rPr>
      </w:pPr>
      <w:r>
        <w:rPr>
          <w:rFonts w:ascii="Times New Roman" w:hAnsi="Times New Roman" w:cs="Times New Roman"/>
          <w:color w:val="000000" w:themeColor="text1"/>
        </w:rPr>
        <w:t>Since the very first international criminal trials in Tokyo and Nuremberg after WWII, legal scholars have taken issue with their existence.</w:t>
      </w:r>
      <w:r w:rsidR="007E1F8D">
        <w:rPr>
          <w:rFonts w:ascii="Times New Roman" w:hAnsi="Times New Roman" w:cs="Times New Roman"/>
          <w:color w:val="000000" w:themeColor="text1"/>
        </w:rPr>
        <w:t xml:space="preserve">  Some, such as Justice</w:t>
      </w:r>
      <w:r w:rsidR="008F7B61">
        <w:rPr>
          <w:rFonts w:ascii="Times New Roman" w:hAnsi="Times New Roman" w:cs="Times New Roman"/>
          <w:color w:val="000000" w:themeColor="text1"/>
        </w:rPr>
        <w:t xml:space="preserve"> </w:t>
      </w:r>
      <w:r w:rsidR="00E5390B">
        <w:rPr>
          <w:rFonts w:ascii="Times New Roman" w:hAnsi="Times New Roman" w:cs="Times New Roman"/>
          <w:color w:val="000000" w:themeColor="text1"/>
        </w:rPr>
        <w:t xml:space="preserve">R.B. </w:t>
      </w:r>
      <w:r w:rsidR="008F7B61">
        <w:rPr>
          <w:rFonts w:ascii="Times New Roman" w:hAnsi="Times New Roman" w:cs="Times New Roman"/>
          <w:color w:val="000000" w:themeColor="text1"/>
        </w:rPr>
        <w:t xml:space="preserve">Pal, </w:t>
      </w:r>
      <w:r w:rsidR="004A3703">
        <w:rPr>
          <w:rFonts w:ascii="Times New Roman" w:hAnsi="Times New Roman" w:cs="Times New Roman"/>
          <w:color w:val="000000" w:themeColor="text1"/>
        </w:rPr>
        <w:t xml:space="preserve">a justice on </w:t>
      </w:r>
      <w:r w:rsidR="00983672">
        <w:rPr>
          <w:rFonts w:ascii="Times New Roman" w:hAnsi="Times New Roman" w:cs="Times New Roman"/>
          <w:color w:val="000000" w:themeColor="text1"/>
        </w:rPr>
        <w:t xml:space="preserve">the Tokyo Tribunal, </w:t>
      </w:r>
      <w:r w:rsidR="009A68FC">
        <w:rPr>
          <w:rFonts w:ascii="Times New Roman" w:hAnsi="Times New Roman" w:cs="Times New Roman"/>
          <w:color w:val="000000" w:themeColor="text1"/>
        </w:rPr>
        <w:t>believed</w:t>
      </w:r>
      <w:r w:rsidR="008F7B61">
        <w:rPr>
          <w:rFonts w:ascii="Times New Roman" w:hAnsi="Times New Roman" w:cs="Times New Roman"/>
          <w:color w:val="000000" w:themeColor="text1"/>
        </w:rPr>
        <w:t xml:space="preserve"> that </w:t>
      </w:r>
      <w:r w:rsidR="00983672">
        <w:rPr>
          <w:rFonts w:ascii="Times New Roman" w:hAnsi="Times New Roman" w:cs="Times New Roman"/>
          <w:color w:val="000000" w:themeColor="text1"/>
        </w:rPr>
        <w:t xml:space="preserve">international tribunals </w:t>
      </w:r>
      <w:r w:rsidR="00182459">
        <w:rPr>
          <w:rFonts w:ascii="Times New Roman" w:hAnsi="Times New Roman" w:cs="Times New Roman"/>
          <w:color w:val="000000" w:themeColor="text1"/>
        </w:rPr>
        <w:t>were purely political tools through which nations asserted sovereignty over one another.</w:t>
      </w:r>
      <w:r w:rsidR="00182459">
        <w:rPr>
          <w:rStyle w:val="FootnoteReference"/>
          <w:rFonts w:ascii="Times New Roman" w:hAnsi="Times New Roman" w:cs="Times New Roman"/>
          <w:color w:val="000000" w:themeColor="text1"/>
        </w:rPr>
        <w:footnoteReference w:id="127"/>
      </w:r>
      <w:r w:rsidR="009B1B5B">
        <w:rPr>
          <w:rFonts w:ascii="Times New Roman" w:hAnsi="Times New Roman" w:cs="Times New Roman"/>
          <w:color w:val="000000" w:themeColor="text1"/>
        </w:rPr>
        <w:t xml:space="preserve">  </w:t>
      </w:r>
      <w:r w:rsidR="00BE39A1">
        <w:rPr>
          <w:rFonts w:ascii="Times New Roman" w:hAnsi="Times New Roman" w:cs="Times New Roman"/>
          <w:color w:val="000000" w:themeColor="text1"/>
        </w:rPr>
        <w:t>This phenomenon is known as “victor’s justice.”</w:t>
      </w:r>
      <w:r w:rsidR="002C286D">
        <w:rPr>
          <w:rStyle w:val="FootnoteReference"/>
          <w:rFonts w:ascii="Times New Roman" w:hAnsi="Times New Roman" w:cs="Times New Roman"/>
          <w:color w:val="000000" w:themeColor="text1"/>
        </w:rPr>
        <w:footnoteReference w:id="128"/>
      </w:r>
      <w:r w:rsidR="00BE39A1">
        <w:rPr>
          <w:rFonts w:ascii="Times New Roman" w:hAnsi="Times New Roman" w:cs="Times New Roman"/>
          <w:color w:val="000000" w:themeColor="text1"/>
        </w:rPr>
        <w:t xml:space="preserve">  In post-conflict situations, victor’s justice can lead to more animosity between the parties.</w:t>
      </w:r>
      <w:r w:rsidR="00BE39A1">
        <w:rPr>
          <w:rStyle w:val="FootnoteReference"/>
          <w:rFonts w:ascii="Times New Roman" w:hAnsi="Times New Roman" w:cs="Times New Roman"/>
          <w:color w:val="000000" w:themeColor="text1"/>
        </w:rPr>
        <w:footnoteReference w:id="129"/>
      </w:r>
      <w:r w:rsidR="00A74622">
        <w:rPr>
          <w:rFonts w:ascii="Times New Roman" w:hAnsi="Times New Roman" w:cs="Times New Roman"/>
          <w:color w:val="000000" w:themeColor="text1"/>
        </w:rPr>
        <w:t xml:space="preserve">  Additionally, criminal prosecutions are not conducive to the parties feeling as though their voices have been heard.</w:t>
      </w:r>
      <w:r w:rsidR="00A74622">
        <w:rPr>
          <w:rStyle w:val="FootnoteReference"/>
          <w:rFonts w:ascii="Times New Roman" w:hAnsi="Times New Roman" w:cs="Times New Roman"/>
          <w:color w:val="000000" w:themeColor="text1"/>
        </w:rPr>
        <w:footnoteReference w:id="130"/>
      </w:r>
      <w:r w:rsidR="00A74622">
        <w:rPr>
          <w:rFonts w:ascii="Times New Roman" w:hAnsi="Times New Roman" w:cs="Times New Roman"/>
          <w:color w:val="000000" w:themeColor="text1"/>
        </w:rPr>
        <w:t xml:space="preserve">  This </w:t>
      </w:r>
      <w:r w:rsidR="002C286D">
        <w:rPr>
          <w:rFonts w:ascii="Times New Roman" w:hAnsi="Times New Roman" w:cs="Times New Roman"/>
          <w:color w:val="000000" w:themeColor="text1"/>
        </w:rPr>
        <w:t>feeling exists</w:t>
      </w:r>
      <w:r w:rsidR="00A74622">
        <w:rPr>
          <w:rFonts w:ascii="Times New Roman" w:hAnsi="Times New Roman" w:cs="Times New Roman"/>
          <w:color w:val="000000" w:themeColor="text1"/>
        </w:rPr>
        <w:t xml:space="preserve"> for two rea</w:t>
      </w:r>
      <w:r w:rsidR="00684CB2">
        <w:rPr>
          <w:rFonts w:ascii="Times New Roman" w:hAnsi="Times New Roman" w:cs="Times New Roman"/>
          <w:color w:val="000000" w:themeColor="text1"/>
        </w:rPr>
        <w:t xml:space="preserve">sons.  </w:t>
      </w:r>
      <w:r w:rsidR="00A74622">
        <w:rPr>
          <w:rFonts w:ascii="Times New Roman" w:hAnsi="Times New Roman" w:cs="Times New Roman"/>
          <w:color w:val="000000" w:themeColor="text1"/>
        </w:rPr>
        <w:t>First, there are procedural limitations to prosecutions.</w:t>
      </w:r>
      <w:r w:rsidR="00DE5C80">
        <w:rPr>
          <w:rFonts w:ascii="Times New Roman" w:hAnsi="Times New Roman" w:cs="Times New Roman"/>
          <w:color w:val="000000" w:themeColor="text1"/>
        </w:rPr>
        <w:t xml:space="preserve"> </w:t>
      </w:r>
      <w:r w:rsidR="00A74622">
        <w:rPr>
          <w:rFonts w:ascii="Times New Roman" w:hAnsi="Times New Roman" w:cs="Times New Roman"/>
          <w:color w:val="000000" w:themeColor="text1"/>
        </w:rPr>
        <w:t xml:space="preserve"> Certain types of evidence may be inadmissible, and courts tend to be limited with regards to how much ti</w:t>
      </w:r>
      <w:r w:rsidR="00684CB2">
        <w:rPr>
          <w:rFonts w:ascii="Times New Roman" w:hAnsi="Times New Roman" w:cs="Times New Roman"/>
          <w:color w:val="000000" w:themeColor="text1"/>
        </w:rPr>
        <w:t>me they can spend on each case.</w:t>
      </w:r>
      <w:r w:rsidR="00684CB2">
        <w:rPr>
          <w:rStyle w:val="FootnoteReference"/>
          <w:rFonts w:ascii="Times New Roman" w:hAnsi="Times New Roman" w:cs="Times New Roman"/>
          <w:color w:val="000000" w:themeColor="text1"/>
        </w:rPr>
        <w:footnoteReference w:id="131"/>
      </w:r>
      <w:r w:rsidR="00684CB2">
        <w:rPr>
          <w:rFonts w:ascii="Times New Roman" w:hAnsi="Times New Roman" w:cs="Times New Roman"/>
          <w:color w:val="000000" w:themeColor="text1"/>
        </w:rPr>
        <w:t xml:space="preserve">  </w:t>
      </w:r>
      <w:r w:rsidR="004A63E8">
        <w:rPr>
          <w:rFonts w:ascii="Times New Roman" w:hAnsi="Times New Roman" w:cs="Times New Roman"/>
          <w:color w:val="000000" w:themeColor="text1"/>
        </w:rPr>
        <w:t>Second, there is no incentive for honesty in criminal prosec</w:t>
      </w:r>
      <w:r w:rsidR="00684CB2">
        <w:rPr>
          <w:rFonts w:ascii="Times New Roman" w:hAnsi="Times New Roman" w:cs="Times New Roman"/>
          <w:color w:val="000000" w:themeColor="text1"/>
        </w:rPr>
        <w:t>u</w:t>
      </w:r>
      <w:r w:rsidR="004A63E8">
        <w:rPr>
          <w:rFonts w:ascii="Times New Roman" w:hAnsi="Times New Roman" w:cs="Times New Roman"/>
          <w:color w:val="000000" w:themeColor="text1"/>
        </w:rPr>
        <w:t>tion</w:t>
      </w:r>
      <w:r w:rsidR="00273CD5">
        <w:rPr>
          <w:rFonts w:ascii="Times New Roman" w:hAnsi="Times New Roman" w:cs="Times New Roman"/>
          <w:color w:val="000000" w:themeColor="text1"/>
        </w:rPr>
        <w:t>s.</w:t>
      </w:r>
      <w:r w:rsidR="00273CD5">
        <w:rPr>
          <w:rStyle w:val="FootnoteReference"/>
          <w:rFonts w:ascii="Times New Roman" w:hAnsi="Times New Roman" w:cs="Times New Roman"/>
          <w:color w:val="000000" w:themeColor="text1"/>
        </w:rPr>
        <w:footnoteReference w:id="132"/>
      </w:r>
      <w:r w:rsidR="006A7D6C">
        <w:rPr>
          <w:rFonts w:ascii="Times New Roman" w:hAnsi="Times New Roman" w:cs="Times New Roman"/>
          <w:color w:val="000000" w:themeColor="text1"/>
        </w:rPr>
        <w:t xml:space="preserve">  There is a school of thought that suggests that justice should be secondary to truth, as truth allows the parties to move on, and put the animosity of the conflict in the past.</w:t>
      </w:r>
      <w:r w:rsidR="006A7D6C">
        <w:rPr>
          <w:rStyle w:val="FootnoteReference"/>
          <w:rFonts w:ascii="Times New Roman" w:hAnsi="Times New Roman" w:cs="Times New Roman"/>
          <w:color w:val="000000" w:themeColor="text1"/>
        </w:rPr>
        <w:footnoteReference w:id="133"/>
      </w:r>
      <w:r w:rsidR="006A7D6C">
        <w:rPr>
          <w:rFonts w:ascii="Times New Roman" w:hAnsi="Times New Roman" w:cs="Times New Roman"/>
          <w:color w:val="000000" w:themeColor="text1"/>
        </w:rPr>
        <w:t xml:space="preserve">  Criminal prosecutions do not allow for this.</w:t>
      </w:r>
      <w:r w:rsidR="00C621B2">
        <w:rPr>
          <w:rStyle w:val="FootnoteReference"/>
          <w:rFonts w:ascii="Times New Roman" w:hAnsi="Times New Roman" w:cs="Times New Roman"/>
          <w:color w:val="000000" w:themeColor="text1"/>
        </w:rPr>
        <w:footnoteReference w:id="134"/>
      </w:r>
      <w:r w:rsidR="006A7D6C">
        <w:rPr>
          <w:rFonts w:ascii="Times New Roman" w:hAnsi="Times New Roman" w:cs="Times New Roman"/>
          <w:color w:val="000000" w:themeColor="text1"/>
        </w:rPr>
        <w:t xml:space="preserve"> </w:t>
      </w:r>
    </w:p>
    <w:p w14:paraId="6005D4B6" w14:textId="722C4929" w:rsidR="00623938" w:rsidRPr="00C04141" w:rsidRDefault="004617ED" w:rsidP="004C7002">
      <w:pPr>
        <w:widowControl w:val="0"/>
        <w:autoSpaceDE w:val="0"/>
        <w:autoSpaceDN w:val="0"/>
        <w:adjustRightInd w:val="0"/>
        <w:ind w:firstLine="720"/>
        <w:jc w:val="both"/>
        <w:rPr>
          <w:rFonts w:ascii="Times New Roman" w:hAnsi="Times New Roman" w:cs="Times New Roman"/>
          <w:color w:val="000000" w:themeColor="text1"/>
        </w:rPr>
      </w:pPr>
      <w:r>
        <w:rPr>
          <w:rFonts w:ascii="Times New Roman" w:hAnsi="Times New Roman" w:cs="Times New Roman"/>
          <w:color w:val="000000" w:themeColor="text1"/>
        </w:rPr>
        <w:t>Modern</w:t>
      </w:r>
      <w:r w:rsidR="00A05D0C">
        <w:rPr>
          <w:rFonts w:ascii="Times New Roman" w:hAnsi="Times New Roman" w:cs="Times New Roman"/>
          <w:color w:val="000000" w:themeColor="text1"/>
        </w:rPr>
        <w:t xml:space="preserve"> criticisms of</w:t>
      </w:r>
      <w:r w:rsidR="007F3865" w:rsidRPr="00420123">
        <w:rPr>
          <w:rFonts w:ascii="Times New Roman" w:hAnsi="Times New Roman" w:cs="Times New Roman"/>
          <w:color w:val="000000" w:themeColor="text1"/>
        </w:rPr>
        <w:t xml:space="preserve"> international criminal prosecutions </w:t>
      </w:r>
      <w:r w:rsidR="00A05D0C">
        <w:rPr>
          <w:rFonts w:ascii="Times New Roman" w:hAnsi="Times New Roman" w:cs="Times New Roman"/>
          <w:color w:val="000000" w:themeColor="text1"/>
        </w:rPr>
        <w:t>revolve around the nature of the jurisdiction involved</w:t>
      </w:r>
      <w:r w:rsidR="00985867">
        <w:rPr>
          <w:rFonts w:ascii="Times New Roman" w:hAnsi="Times New Roman" w:cs="Times New Roman"/>
          <w:color w:val="000000" w:themeColor="text1"/>
        </w:rPr>
        <w:t xml:space="preserve">. </w:t>
      </w:r>
      <w:r w:rsidR="00DE5C80">
        <w:rPr>
          <w:rFonts w:ascii="Times New Roman" w:hAnsi="Times New Roman" w:cs="Times New Roman"/>
          <w:color w:val="000000" w:themeColor="text1"/>
        </w:rPr>
        <w:t xml:space="preserve"> </w:t>
      </w:r>
      <w:r w:rsidR="00985867">
        <w:rPr>
          <w:rFonts w:ascii="Times New Roman" w:hAnsi="Times New Roman" w:cs="Times New Roman"/>
          <w:color w:val="000000" w:themeColor="text1"/>
        </w:rPr>
        <w:t xml:space="preserve">As discussed </w:t>
      </w:r>
      <w:r w:rsidR="00A373DB">
        <w:rPr>
          <w:rFonts w:ascii="Times New Roman" w:hAnsi="Times New Roman" w:cs="Times New Roman"/>
          <w:color w:val="000000" w:themeColor="text1"/>
        </w:rPr>
        <w:t>above</w:t>
      </w:r>
      <w:r w:rsidR="00985867">
        <w:rPr>
          <w:rFonts w:ascii="Times New Roman" w:hAnsi="Times New Roman" w:cs="Times New Roman"/>
          <w:color w:val="000000" w:themeColor="text1"/>
        </w:rPr>
        <w:t xml:space="preserve">, </w:t>
      </w:r>
      <w:r w:rsidR="004C7002">
        <w:rPr>
          <w:rFonts w:ascii="Times New Roman" w:hAnsi="Times New Roman" w:cs="Times New Roman"/>
          <w:color w:val="000000" w:themeColor="text1"/>
        </w:rPr>
        <w:t>several</w:t>
      </w:r>
      <w:r w:rsidR="003D4321">
        <w:rPr>
          <w:rFonts w:ascii="Times New Roman" w:hAnsi="Times New Roman" w:cs="Times New Roman"/>
          <w:color w:val="000000" w:themeColor="text1"/>
        </w:rPr>
        <w:t xml:space="preserve"> states have withdrawn from the ICC in recent years.</w:t>
      </w:r>
      <w:r w:rsidR="006A7D6C">
        <w:rPr>
          <w:rFonts w:ascii="Times New Roman" w:hAnsi="Times New Roman" w:cs="Times New Roman"/>
          <w:color w:val="000000" w:themeColor="text1"/>
        </w:rPr>
        <w:t xml:space="preserve"> </w:t>
      </w:r>
      <w:r>
        <w:rPr>
          <w:rFonts w:ascii="Times New Roman" w:hAnsi="Times New Roman" w:cs="Times New Roman"/>
          <w:color w:val="000000" w:themeColor="text1"/>
        </w:rPr>
        <w:t>If all of the</w:t>
      </w:r>
      <w:r w:rsidR="00821B2A">
        <w:rPr>
          <w:rFonts w:ascii="Times New Roman" w:hAnsi="Times New Roman" w:cs="Times New Roman"/>
          <w:color w:val="000000" w:themeColor="text1"/>
        </w:rPr>
        <w:t>se</w:t>
      </w:r>
      <w:r>
        <w:rPr>
          <w:rFonts w:ascii="Times New Roman" w:hAnsi="Times New Roman" w:cs="Times New Roman"/>
          <w:color w:val="000000" w:themeColor="text1"/>
        </w:rPr>
        <w:t xml:space="preserve"> states parties to the Rome Statute can withdraw at</w:t>
      </w:r>
      <w:r w:rsidR="00E5390B">
        <w:rPr>
          <w:rFonts w:ascii="Times New Roman" w:hAnsi="Times New Roman" w:cs="Times New Roman"/>
          <w:color w:val="000000" w:themeColor="text1"/>
        </w:rPr>
        <w:t xml:space="preserve"> will without consequence, the C</w:t>
      </w:r>
      <w:r>
        <w:rPr>
          <w:rFonts w:ascii="Times New Roman" w:hAnsi="Times New Roman" w:cs="Times New Roman"/>
          <w:color w:val="000000" w:themeColor="text1"/>
        </w:rPr>
        <w:t xml:space="preserve">ourt has no power whatsoever—a state </w:t>
      </w:r>
      <w:r w:rsidR="00851B45">
        <w:rPr>
          <w:rFonts w:ascii="Times New Roman" w:hAnsi="Times New Roman" w:cs="Times New Roman"/>
          <w:color w:val="000000" w:themeColor="text1"/>
        </w:rPr>
        <w:t>whose nationals are</w:t>
      </w:r>
      <w:r>
        <w:rPr>
          <w:rFonts w:ascii="Times New Roman" w:hAnsi="Times New Roman" w:cs="Times New Roman"/>
          <w:color w:val="000000" w:themeColor="text1"/>
        </w:rPr>
        <w:t xml:space="preserve"> under investigation can simply remove itself from</w:t>
      </w:r>
      <w:r w:rsidR="00985867">
        <w:rPr>
          <w:rFonts w:ascii="Times New Roman" w:hAnsi="Times New Roman" w:cs="Times New Roman"/>
          <w:color w:val="000000" w:themeColor="text1"/>
        </w:rPr>
        <w:t xml:space="preserve"> the jurisdiction of the court.  </w:t>
      </w:r>
      <w:r w:rsidR="00821B2A">
        <w:rPr>
          <w:rFonts w:ascii="Times New Roman" w:hAnsi="Times New Roman" w:cs="Times New Roman"/>
          <w:color w:val="000000" w:themeColor="text1"/>
        </w:rPr>
        <w:t>The withdrawals of the African states are indicative of a larger issue</w:t>
      </w:r>
      <w:r w:rsidR="009479F9">
        <w:rPr>
          <w:rFonts w:ascii="Times New Roman" w:hAnsi="Times New Roman" w:cs="Times New Roman"/>
          <w:color w:val="000000" w:themeColor="text1"/>
        </w:rPr>
        <w:t xml:space="preserve"> in international human rights law</w:t>
      </w:r>
      <w:r w:rsidR="0091659D">
        <w:rPr>
          <w:rFonts w:ascii="Times New Roman" w:hAnsi="Times New Roman" w:cs="Times New Roman"/>
          <w:color w:val="000000" w:themeColor="text1"/>
        </w:rPr>
        <w:t>.  T</w:t>
      </w:r>
      <w:r w:rsidR="009479F9">
        <w:rPr>
          <w:rFonts w:ascii="Times New Roman" w:hAnsi="Times New Roman" w:cs="Times New Roman"/>
          <w:color w:val="000000" w:themeColor="text1"/>
        </w:rPr>
        <w:t xml:space="preserve">he ICC, like other </w:t>
      </w:r>
      <w:r w:rsidR="009337DE">
        <w:rPr>
          <w:rFonts w:ascii="Times New Roman" w:hAnsi="Times New Roman" w:cs="Times New Roman"/>
          <w:color w:val="000000" w:themeColor="text1"/>
        </w:rPr>
        <w:t xml:space="preserve">international human rights mechanisms, is viewed by many in </w:t>
      </w:r>
      <w:r w:rsidR="0090411D">
        <w:rPr>
          <w:rFonts w:ascii="Times New Roman" w:hAnsi="Times New Roman" w:cs="Times New Roman"/>
          <w:color w:val="000000" w:themeColor="text1"/>
        </w:rPr>
        <w:t xml:space="preserve">African, Latin American, and some Asian states as a tool of Western </w:t>
      </w:r>
      <w:r w:rsidR="0090411D">
        <w:rPr>
          <w:rFonts w:ascii="Times New Roman" w:hAnsi="Times New Roman" w:cs="Times New Roman"/>
          <w:color w:val="000000" w:themeColor="text1"/>
        </w:rPr>
        <w:lastRenderedPageBreak/>
        <w:t>imperialism.</w:t>
      </w:r>
      <w:r w:rsidR="0091659D">
        <w:rPr>
          <w:rStyle w:val="FootnoteReference"/>
          <w:rFonts w:ascii="Times New Roman" w:hAnsi="Times New Roman" w:cs="Times New Roman"/>
          <w:color w:val="000000" w:themeColor="text1"/>
        </w:rPr>
        <w:footnoteReference w:id="135"/>
      </w:r>
      <w:r w:rsidR="0091659D">
        <w:rPr>
          <w:rFonts w:ascii="Times New Roman" w:hAnsi="Times New Roman" w:cs="Times New Roman"/>
          <w:color w:val="000000" w:themeColor="text1"/>
        </w:rPr>
        <w:t xml:space="preserve">  </w:t>
      </w:r>
      <w:r w:rsidR="00CC3D5A">
        <w:rPr>
          <w:rFonts w:ascii="Times New Roman" w:hAnsi="Times New Roman" w:cs="Times New Roman"/>
          <w:color w:val="000000" w:themeColor="text1"/>
        </w:rPr>
        <w:t>This creates a lack of trust in the instit</w:t>
      </w:r>
      <w:r w:rsidR="00E51617">
        <w:rPr>
          <w:rFonts w:ascii="Times New Roman" w:hAnsi="Times New Roman" w:cs="Times New Roman"/>
          <w:color w:val="000000" w:themeColor="text1"/>
        </w:rPr>
        <w:t xml:space="preserve">utional foundations of the ICC.  </w:t>
      </w:r>
      <w:r w:rsidR="00DE5C80">
        <w:rPr>
          <w:rFonts w:ascii="Times New Roman" w:hAnsi="Times New Roman" w:cs="Times New Roman"/>
          <w:color w:val="000000" w:themeColor="text1"/>
        </w:rPr>
        <w:t>To</w:t>
      </w:r>
      <w:r w:rsidR="00E51617">
        <w:rPr>
          <w:rFonts w:ascii="Times New Roman" w:hAnsi="Times New Roman" w:cs="Times New Roman"/>
          <w:color w:val="000000" w:themeColor="text1"/>
        </w:rPr>
        <w:t xml:space="preserve"> be effective, atrocity prevention mechanisms should be viewed as promoting a state’s values rather than as attacking them.</w:t>
      </w:r>
      <w:r w:rsidR="00E51617">
        <w:rPr>
          <w:rStyle w:val="FootnoteReference"/>
          <w:rFonts w:ascii="Times New Roman" w:hAnsi="Times New Roman" w:cs="Times New Roman"/>
          <w:color w:val="000000" w:themeColor="text1"/>
        </w:rPr>
        <w:footnoteReference w:id="136"/>
      </w:r>
      <w:r w:rsidR="00985867">
        <w:rPr>
          <w:rFonts w:ascii="Times New Roman" w:hAnsi="Times New Roman" w:cs="Times New Roman"/>
          <w:color w:val="000000" w:themeColor="text1"/>
        </w:rPr>
        <w:t xml:space="preserve">  </w:t>
      </w:r>
      <w:r w:rsidR="00623938">
        <w:rPr>
          <w:rFonts w:ascii="Times New Roman" w:hAnsi="Times New Roman" w:cs="Times New Roman"/>
          <w:color w:val="000000" w:themeColor="text1"/>
        </w:rPr>
        <w:t xml:space="preserve">Another issue with the jurisdiction of the ICC is that </w:t>
      </w:r>
      <w:r w:rsidR="00E51617">
        <w:rPr>
          <w:rFonts w:ascii="Times New Roman" w:hAnsi="Times New Roman" w:cs="Times New Roman"/>
          <w:color w:val="000000" w:themeColor="text1"/>
        </w:rPr>
        <w:t xml:space="preserve">it is not retroactive.  That is, the ICC only has the authority to prosecute crimes that occurred on the territory of a state party after that state consented to the jurisdiction of the court, either by signing the Rome Statute, or by granting </w:t>
      </w:r>
      <w:r w:rsidR="00E51617">
        <w:rPr>
          <w:rFonts w:ascii="Times New Roman" w:hAnsi="Times New Roman" w:cs="Times New Roman"/>
          <w:i/>
          <w:iCs/>
          <w:color w:val="000000" w:themeColor="text1"/>
        </w:rPr>
        <w:t>ad-hoc</w:t>
      </w:r>
      <w:r w:rsidR="00E51617">
        <w:rPr>
          <w:rFonts w:ascii="Times New Roman" w:hAnsi="Times New Roman" w:cs="Times New Roman"/>
          <w:color w:val="000000" w:themeColor="text1"/>
        </w:rPr>
        <w:t xml:space="preserve"> consent.</w:t>
      </w:r>
      <w:r w:rsidR="00E51617">
        <w:rPr>
          <w:rStyle w:val="FootnoteReference"/>
          <w:rFonts w:ascii="Times New Roman" w:hAnsi="Times New Roman" w:cs="Times New Roman"/>
          <w:color w:val="000000" w:themeColor="text1"/>
        </w:rPr>
        <w:footnoteReference w:id="137"/>
      </w:r>
      <w:r w:rsidR="00E51617">
        <w:rPr>
          <w:rFonts w:ascii="Times New Roman" w:hAnsi="Times New Roman" w:cs="Times New Roman"/>
          <w:color w:val="000000" w:themeColor="text1"/>
        </w:rPr>
        <w:t xml:space="preserve">  This </w:t>
      </w:r>
      <w:r w:rsidR="00985867">
        <w:rPr>
          <w:rFonts w:ascii="Times New Roman" w:hAnsi="Times New Roman" w:cs="Times New Roman"/>
          <w:color w:val="000000" w:themeColor="text1"/>
        </w:rPr>
        <w:t xml:space="preserve">means that in theory, </w:t>
      </w:r>
      <w:r w:rsidR="00E51617">
        <w:rPr>
          <w:rFonts w:ascii="Times New Roman" w:hAnsi="Times New Roman" w:cs="Times New Roman"/>
          <w:color w:val="000000" w:themeColor="text1"/>
        </w:rPr>
        <w:t xml:space="preserve">states </w:t>
      </w:r>
      <w:r w:rsidR="00985867">
        <w:rPr>
          <w:rFonts w:ascii="Times New Roman" w:hAnsi="Times New Roman" w:cs="Times New Roman"/>
          <w:color w:val="000000" w:themeColor="text1"/>
        </w:rPr>
        <w:t>could</w:t>
      </w:r>
      <w:r w:rsidR="00E51617">
        <w:rPr>
          <w:rFonts w:ascii="Times New Roman" w:hAnsi="Times New Roman" w:cs="Times New Roman"/>
          <w:color w:val="000000" w:themeColor="text1"/>
        </w:rPr>
        <w:t xml:space="preserve"> </w:t>
      </w:r>
      <w:r w:rsidR="00985867">
        <w:rPr>
          <w:rFonts w:ascii="Times New Roman" w:hAnsi="Times New Roman" w:cs="Times New Roman"/>
          <w:color w:val="000000" w:themeColor="text1"/>
        </w:rPr>
        <w:t xml:space="preserve">wait until their nationals have completed the commission of international crimes before consenting to jurisdiction, thus sheltering said nationals from ICC prosecutions. </w:t>
      </w:r>
      <w:r w:rsidR="00DE5C80">
        <w:rPr>
          <w:rFonts w:ascii="Times New Roman" w:hAnsi="Times New Roman" w:cs="Times New Roman"/>
          <w:color w:val="000000" w:themeColor="text1"/>
        </w:rPr>
        <w:t xml:space="preserve"> </w:t>
      </w:r>
      <w:r w:rsidR="00985867">
        <w:rPr>
          <w:rFonts w:ascii="Times New Roman" w:hAnsi="Times New Roman" w:cs="Times New Roman"/>
          <w:color w:val="000000" w:themeColor="text1"/>
        </w:rPr>
        <w:t xml:space="preserve">The final issue with the jurisdiction of the ICC is that </w:t>
      </w:r>
      <w:r w:rsidR="00502E2E">
        <w:rPr>
          <w:rFonts w:ascii="Times New Roman" w:hAnsi="Times New Roman" w:cs="Times New Roman"/>
          <w:color w:val="000000" w:themeColor="text1"/>
        </w:rPr>
        <w:t xml:space="preserve">it does not </w:t>
      </w:r>
      <w:r w:rsidR="00C04141">
        <w:rPr>
          <w:rFonts w:ascii="Times New Roman" w:hAnsi="Times New Roman" w:cs="Times New Roman"/>
          <w:color w:val="000000" w:themeColor="text1"/>
        </w:rPr>
        <w:t xml:space="preserve">conduct trials </w:t>
      </w:r>
      <w:r w:rsidR="00C04141">
        <w:rPr>
          <w:rFonts w:ascii="Times New Roman" w:hAnsi="Times New Roman" w:cs="Times New Roman"/>
          <w:i/>
          <w:iCs/>
          <w:color w:val="000000" w:themeColor="text1"/>
        </w:rPr>
        <w:t>in absentia</w:t>
      </w:r>
      <w:r w:rsidR="00C04141">
        <w:rPr>
          <w:rFonts w:ascii="Times New Roman" w:hAnsi="Times New Roman" w:cs="Times New Roman"/>
          <w:color w:val="000000" w:themeColor="text1"/>
        </w:rPr>
        <w:t>,</w:t>
      </w:r>
      <w:r w:rsidR="009570F2">
        <w:rPr>
          <w:rStyle w:val="FootnoteReference"/>
          <w:rFonts w:ascii="Times New Roman" w:hAnsi="Times New Roman" w:cs="Times New Roman"/>
          <w:color w:val="000000" w:themeColor="text1"/>
        </w:rPr>
        <w:footnoteReference w:id="138"/>
      </w:r>
      <w:r w:rsidR="00C04141">
        <w:rPr>
          <w:rFonts w:ascii="Times New Roman" w:hAnsi="Times New Roman" w:cs="Times New Roman"/>
          <w:color w:val="000000" w:themeColor="text1"/>
        </w:rPr>
        <w:t xml:space="preserve"> and perpetrators of international crimes often evade capture for years.</w:t>
      </w:r>
      <w:r w:rsidR="00C04141">
        <w:rPr>
          <w:rStyle w:val="FootnoteReference"/>
          <w:rFonts w:ascii="Times New Roman" w:hAnsi="Times New Roman" w:cs="Times New Roman"/>
          <w:color w:val="000000" w:themeColor="text1"/>
        </w:rPr>
        <w:footnoteReference w:id="139"/>
      </w:r>
      <w:r w:rsidR="00C04141">
        <w:rPr>
          <w:rFonts w:ascii="Times New Roman" w:hAnsi="Times New Roman" w:cs="Times New Roman"/>
          <w:color w:val="000000" w:themeColor="text1"/>
        </w:rPr>
        <w:t xml:space="preserve"> </w:t>
      </w:r>
    </w:p>
    <w:p w14:paraId="672BF7F9" w14:textId="77777777" w:rsidR="0091659D" w:rsidRDefault="0091659D" w:rsidP="006009D2">
      <w:pPr>
        <w:widowControl w:val="0"/>
        <w:autoSpaceDE w:val="0"/>
        <w:autoSpaceDN w:val="0"/>
        <w:adjustRightInd w:val="0"/>
        <w:ind w:firstLine="720"/>
        <w:jc w:val="both"/>
        <w:rPr>
          <w:rFonts w:ascii="Times New Roman" w:hAnsi="Times New Roman" w:cs="Times New Roman"/>
          <w:color w:val="000000" w:themeColor="text1"/>
        </w:rPr>
      </w:pPr>
    </w:p>
    <w:p w14:paraId="1C1AA057" w14:textId="271385E7" w:rsidR="002F231C" w:rsidRPr="00AB6113" w:rsidRDefault="00DA042F" w:rsidP="00AB6113">
      <w:pPr>
        <w:widowControl w:val="0"/>
        <w:autoSpaceDE w:val="0"/>
        <w:autoSpaceDN w:val="0"/>
        <w:adjustRightInd w:val="0"/>
        <w:jc w:val="center"/>
        <w:rPr>
          <w:smallCaps/>
        </w:rPr>
      </w:pPr>
      <w:r w:rsidRPr="00AB6113">
        <w:rPr>
          <w:rFonts w:ascii="Times New Roman" w:hAnsi="Times New Roman" w:cs="Times New Roman"/>
        </w:rPr>
        <w:t xml:space="preserve">B.  </w:t>
      </w:r>
      <w:r w:rsidR="002F231C" w:rsidRPr="00AB6113">
        <w:rPr>
          <w:rFonts w:ascii="Times New Roman" w:hAnsi="Times New Roman" w:cs="Times New Roman"/>
          <w:i/>
        </w:rPr>
        <w:t>Alternative Dispute Resolution, the R2P Toolbox, and Transitional Justice</w:t>
      </w:r>
    </w:p>
    <w:p w14:paraId="001E21CC" w14:textId="77777777" w:rsidR="0091659D" w:rsidRPr="00420123" w:rsidRDefault="0091659D" w:rsidP="006009D2">
      <w:pPr>
        <w:widowControl w:val="0"/>
        <w:autoSpaceDE w:val="0"/>
        <w:autoSpaceDN w:val="0"/>
        <w:adjustRightInd w:val="0"/>
        <w:ind w:firstLine="720"/>
        <w:jc w:val="both"/>
        <w:rPr>
          <w:rFonts w:ascii="Times New Roman" w:hAnsi="Times New Roman" w:cs="Times New Roman"/>
          <w:color w:val="000000" w:themeColor="text1"/>
        </w:rPr>
      </w:pPr>
    </w:p>
    <w:p w14:paraId="1970A6EF" w14:textId="0279D5A7" w:rsidR="00702B18" w:rsidRPr="001D1419" w:rsidRDefault="00DC5CA1" w:rsidP="006009D2">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In addition to the legal enforcement mechanisms developed by the international community, the past seventy years have also seen the promulgation of a variety of complements</w:t>
      </w:r>
      <w:r>
        <w:rPr>
          <w:rStyle w:val="FootnoteReference"/>
          <w:rFonts w:ascii="Times New Roman" w:hAnsi="Times New Roman" w:cs="Times New Roman"/>
        </w:rPr>
        <w:footnoteReference w:id="140"/>
      </w:r>
      <w:r>
        <w:rPr>
          <w:rFonts w:ascii="Times New Roman" w:hAnsi="Times New Roman" w:cs="Times New Roman"/>
        </w:rPr>
        <w:t xml:space="preserve"> to traditional methods.  Human rights scholars and practitioners alike often feel as though these complementary mechanisms developed out of necessity—to compensate for the shortcomings of the legal enforcement mechanisms addressed above.</w:t>
      </w:r>
      <w:r w:rsidR="009570F2">
        <w:rPr>
          <w:rStyle w:val="FootnoteReference"/>
          <w:rFonts w:ascii="Times New Roman" w:hAnsi="Times New Roman" w:cs="Times New Roman"/>
        </w:rPr>
        <w:footnoteReference w:id="141"/>
      </w:r>
      <w:r>
        <w:rPr>
          <w:rFonts w:ascii="Times New Roman" w:hAnsi="Times New Roman" w:cs="Times New Roman"/>
        </w:rPr>
        <w:t xml:space="preserve"> </w:t>
      </w:r>
      <w:r w:rsidR="00DE5C80">
        <w:rPr>
          <w:rFonts w:ascii="Times New Roman" w:hAnsi="Times New Roman" w:cs="Times New Roman"/>
        </w:rPr>
        <w:t xml:space="preserve"> </w:t>
      </w:r>
      <w:r>
        <w:rPr>
          <w:rFonts w:ascii="Times New Roman" w:hAnsi="Times New Roman" w:cs="Times New Roman"/>
        </w:rPr>
        <w:t xml:space="preserve">Several </w:t>
      </w:r>
      <w:r w:rsidR="004269BE">
        <w:rPr>
          <w:rFonts w:ascii="Times New Roman" w:hAnsi="Times New Roman" w:cs="Times New Roman"/>
        </w:rPr>
        <w:t>of these complementary methods</w:t>
      </w:r>
      <w:r w:rsidR="005925AD">
        <w:rPr>
          <w:rFonts w:ascii="Times New Roman" w:hAnsi="Times New Roman" w:cs="Times New Roman"/>
        </w:rPr>
        <w:t xml:space="preserve"> of atrocity prevention</w:t>
      </w:r>
      <w:r w:rsidR="004269BE">
        <w:rPr>
          <w:rFonts w:ascii="Times New Roman" w:hAnsi="Times New Roman" w:cs="Times New Roman"/>
        </w:rPr>
        <w:t xml:space="preserve"> </w:t>
      </w:r>
      <w:r w:rsidR="00B370FA">
        <w:rPr>
          <w:rFonts w:ascii="Times New Roman" w:hAnsi="Times New Roman" w:cs="Times New Roman"/>
        </w:rPr>
        <w:t xml:space="preserve">emerged as part of </w:t>
      </w:r>
      <w:r w:rsidR="00B370FA">
        <w:rPr>
          <w:rFonts w:ascii="Times New Roman" w:hAnsi="Times New Roman" w:cs="Times New Roman"/>
        </w:rPr>
        <w:lastRenderedPageBreak/>
        <w:t xml:space="preserve">a </w:t>
      </w:r>
      <w:r w:rsidR="00EB6984">
        <w:rPr>
          <w:rFonts w:ascii="Times New Roman" w:hAnsi="Times New Roman" w:cs="Times New Roman"/>
        </w:rPr>
        <w:t>multifaceted</w:t>
      </w:r>
      <w:r w:rsidR="00B370FA">
        <w:rPr>
          <w:rFonts w:ascii="Times New Roman" w:hAnsi="Times New Roman" w:cs="Times New Roman"/>
        </w:rPr>
        <w:t xml:space="preserve"> </w:t>
      </w:r>
      <w:r w:rsidR="007B4EC9">
        <w:rPr>
          <w:rFonts w:ascii="Times New Roman" w:hAnsi="Times New Roman" w:cs="Times New Roman"/>
          <w:color w:val="000000" w:themeColor="text1"/>
        </w:rPr>
        <w:t>post-</w:t>
      </w:r>
      <w:r w:rsidR="00EB6984">
        <w:rPr>
          <w:rFonts w:ascii="Times New Roman" w:hAnsi="Times New Roman" w:cs="Times New Roman"/>
          <w:color w:val="000000" w:themeColor="text1"/>
        </w:rPr>
        <w:t>conflict</w:t>
      </w:r>
      <w:r w:rsidR="00146000" w:rsidRPr="00C01721">
        <w:rPr>
          <w:rFonts w:ascii="Times New Roman" w:hAnsi="Times New Roman" w:cs="Times New Roman"/>
          <w:color w:val="000000" w:themeColor="text1"/>
        </w:rPr>
        <w:t xml:space="preserve"> </w:t>
      </w:r>
      <w:r w:rsidR="00146000">
        <w:rPr>
          <w:rFonts w:ascii="Times New Roman" w:hAnsi="Times New Roman" w:cs="Times New Roman"/>
        </w:rPr>
        <w:t>process</w:t>
      </w:r>
      <w:r w:rsidR="00E32A0D">
        <w:rPr>
          <w:rFonts w:ascii="Times New Roman" w:hAnsi="Times New Roman" w:cs="Times New Roman"/>
        </w:rPr>
        <w:t xml:space="preserve"> </w:t>
      </w:r>
      <w:r w:rsidR="00146000">
        <w:rPr>
          <w:rFonts w:ascii="Times New Roman" w:hAnsi="Times New Roman" w:cs="Times New Roman"/>
        </w:rPr>
        <w:t>commonly r</w:t>
      </w:r>
      <w:r w:rsidR="00E257CF">
        <w:rPr>
          <w:rFonts w:ascii="Times New Roman" w:hAnsi="Times New Roman" w:cs="Times New Roman"/>
        </w:rPr>
        <w:t>efer</w:t>
      </w:r>
      <w:r w:rsidR="00583CF0">
        <w:rPr>
          <w:rFonts w:ascii="Times New Roman" w:hAnsi="Times New Roman" w:cs="Times New Roman"/>
        </w:rPr>
        <w:t>r</w:t>
      </w:r>
      <w:r w:rsidR="00E72502">
        <w:rPr>
          <w:rFonts w:ascii="Times New Roman" w:hAnsi="Times New Roman" w:cs="Times New Roman"/>
        </w:rPr>
        <w:t xml:space="preserve">ed to as transitional justice.  </w:t>
      </w:r>
      <w:r w:rsidR="00291C0D">
        <w:rPr>
          <w:rFonts w:ascii="Times New Roman" w:hAnsi="Times New Roman" w:cs="Times New Roman"/>
        </w:rPr>
        <w:t xml:space="preserve">Pablo De </w:t>
      </w:r>
      <w:proofErr w:type="spellStart"/>
      <w:r w:rsidR="00291C0D">
        <w:rPr>
          <w:rFonts w:ascii="Times New Roman" w:hAnsi="Times New Roman" w:cs="Times New Roman"/>
        </w:rPr>
        <w:t>Greiff</w:t>
      </w:r>
      <w:proofErr w:type="spellEnd"/>
      <w:r w:rsidR="00291C0D">
        <w:rPr>
          <w:rFonts w:ascii="Times New Roman" w:hAnsi="Times New Roman" w:cs="Times New Roman"/>
        </w:rPr>
        <w:t xml:space="preserve">, the United Nations Special Rapporteur for </w:t>
      </w:r>
      <w:r w:rsidR="00124FFC">
        <w:rPr>
          <w:rFonts w:ascii="Times New Roman" w:hAnsi="Times New Roman" w:cs="Times New Roman"/>
        </w:rPr>
        <w:t xml:space="preserve">the Promotion of </w:t>
      </w:r>
      <w:r w:rsidR="00291C0D">
        <w:rPr>
          <w:rFonts w:ascii="Times New Roman" w:hAnsi="Times New Roman" w:cs="Times New Roman"/>
        </w:rPr>
        <w:t xml:space="preserve">Truth, </w:t>
      </w:r>
      <w:r w:rsidR="00124FFC">
        <w:rPr>
          <w:rFonts w:ascii="Times New Roman" w:hAnsi="Times New Roman" w:cs="Times New Roman"/>
        </w:rPr>
        <w:t>Justice, Reparation, and Guarantees of Non</w:t>
      </w:r>
      <w:r w:rsidR="007B4EC9">
        <w:rPr>
          <w:rFonts w:ascii="Times New Roman" w:hAnsi="Times New Roman" w:cs="Times New Roman"/>
        </w:rPr>
        <w:t>-</w:t>
      </w:r>
      <w:r w:rsidR="00124FFC">
        <w:rPr>
          <w:rFonts w:ascii="Times New Roman" w:hAnsi="Times New Roman" w:cs="Times New Roman"/>
        </w:rPr>
        <w:t>Recurrence</w:t>
      </w:r>
      <w:r w:rsidR="005925AD">
        <w:rPr>
          <w:rFonts w:ascii="Times New Roman" w:hAnsi="Times New Roman" w:cs="Times New Roman"/>
        </w:rPr>
        <w:t>,</w:t>
      </w:r>
      <w:r w:rsidR="00124FFC">
        <w:rPr>
          <w:rStyle w:val="FootnoteReference"/>
          <w:rFonts w:ascii="Times New Roman" w:hAnsi="Times New Roman" w:cs="Times New Roman"/>
        </w:rPr>
        <w:footnoteReference w:id="142"/>
      </w:r>
      <w:r w:rsidR="00D22682">
        <w:rPr>
          <w:rFonts w:ascii="Times New Roman" w:hAnsi="Times New Roman" w:cs="Times New Roman"/>
        </w:rPr>
        <w:t xml:space="preserve"> asserts that “there have been very few attempts to articulate a conception of transitional justice systematically.”</w:t>
      </w:r>
      <w:r w:rsidR="00C01721">
        <w:rPr>
          <w:rStyle w:val="FootnoteReference"/>
          <w:rFonts w:ascii="Times New Roman" w:hAnsi="Times New Roman" w:cs="Times New Roman"/>
        </w:rPr>
        <w:footnoteReference w:id="143"/>
      </w:r>
      <w:r w:rsidR="00E72502">
        <w:rPr>
          <w:rFonts w:ascii="Times New Roman" w:hAnsi="Times New Roman" w:cs="Times New Roman"/>
        </w:rPr>
        <w:t xml:space="preserve">  </w:t>
      </w:r>
      <w:r w:rsidR="00C01721">
        <w:rPr>
          <w:rFonts w:ascii="Times New Roman" w:hAnsi="Times New Roman" w:cs="Times New Roman"/>
        </w:rPr>
        <w:t>There is no single agreed upon picture of what transitional justice looks like, or</w:t>
      </w:r>
      <w:r w:rsidR="007332E4">
        <w:rPr>
          <w:rFonts w:ascii="Times New Roman" w:hAnsi="Times New Roman" w:cs="Times New Roman"/>
        </w:rPr>
        <w:t xml:space="preserve"> what it</w:t>
      </w:r>
      <w:r w:rsidR="00E72502">
        <w:rPr>
          <w:rFonts w:ascii="Times New Roman" w:hAnsi="Times New Roman" w:cs="Times New Roman"/>
        </w:rPr>
        <w:t xml:space="preserve"> should be.  </w:t>
      </w:r>
      <w:r w:rsidR="00661056">
        <w:rPr>
          <w:rFonts w:ascii="Times New Roman" w:hAnsi="Times New Roman" w:cs="Times New Roman"/>
        </w:rPr>
        <w:t xml:space="preserve">In </w:t>
      </w:r>
      <w:r w:rsidR="007332E4">
        <w:rPr>
          <w:rFonts w:ascii="Times New Roman" w:hAnsi="Times New Roman" w:cs="Times New Roman"/>
        </w:rPr>
        <w:t xml:space="preserve">a </w:t>
      </w:r>
      <w:r w:rsidR="00661056">
        <w:rPr>
          <w:rFonts w:ascii="Times New Roman" w:hAnsi="Times New Roman" w:cs="Times New Roman"/>
        </w:rPr>
        <w:t xml:space="preserve">2004 report to the Security Council, </w:t>
      </w:r>
      <w:r w:rsidR="00607BBD">
        <w:rPr>
          <w:rFonts w:ascii="Times New Roman" w:hAnsi="Times New Roman" w:cs="Times New Roman"/>
        </w:rPr>
        <w:t>U.N.</w:t>
      </w:r>
      <w:r w:rsidR="005925AD">
        <w:rPr>
          <w:rFonts w:ascii="Times New Roman" w:hAnsi="Times New Roman" w:cs="Times New Roman"/>
        </w:rPr>
        <w:t xml:space="preserve"> </w:t>
      </w:r>
      <w:r w:rsidR="00661056">
        <w:rPr>
          <w:rFonts w:ascii="Times New Roman" w:hAnsi="Times New Roman" w:cs="Times New Roman"/>
        </w:rPr>
        <w:t>Secretary General Kofi Annan</w:t>
      </w:r>
      <w:r w:rsidR="005925AD">
        <w:rPr>
          <w:rStyle w:val="FootnoteReference"/>
          <w:rFonts w:ascii="Times New Roman" w:hAnsi="Times New Roman" w:cs="Times New Roman"/>
        </w:rPr>
        <w:footnoteReference w:id="144"/>
      </w:r>
      <w:r w:rsidR="00661056">
        <w:rPr>
          <w:rFonts w:ascii="Times New Roman" w:hAnsi="Times New Roman" w:cs="Times New Roman"/>
        </w:rPr>
        <w:t xml:space="preserve"> </w:t>
      </w:r>
      <w:r w:rsidR="00786B84">
        <w:rPr>
          <w:rFonts w:ascii="Times New Roman" w:hAnsi="Times New Roman" w:cs="Times New Roman"/>
        </w:rPr>
        <w:t xml:space="preserve">defined transitional </w:t>
      </w:r>
      <w:r w:rsidR="008A5875">
        <w:rPr>
          <w:rFonts w:ascii="Times New Roman" w:hAnsi="Times New Roman" w:cs="Times New Roman"/>
        </w:rPr>
        <w:t>justice as</w:t>
      </w:r>
      <w:r w:rsidR="00786B84">
        <w:rPr>
          <w:rFonts w:ascii="Times New Roman" w:hAnsi="Times New Roman" w:cs="Times New Roman"/>
        </w:rPr>
        <w:t xml:space="preserve"> </w:t>
      </w:r>
      <w:r w:rsidR="008A5875">
        <w:rPr>
          <w:rFonts w:ascii="Times New Roman" w:hAnsi="Times New Roman" w:cs="Times New Roman"/>
        </w:rPr>
        <w:t>“t</w:t>
      </w:r>
      <w:r w:rsidR="00786B84" w:rsidRPr="00786B84">
        <w:rPr>
          <w:rFonts w:ascii="Times New Roman" w:hAnsi="Times New Roman" w:cs="Times New Roman"/>
        </w:rPr>
        <w:t>he full range of processes and mechanisms associated with a society’s attempts to come to terms with a legacy of large</w:t>
      </w:r>
      <w:r w:rsidR="00E72502">
        <w:rPr>
          <w:rFonts w:ascii="Times New Roman" w:hAnsi="Times New Roman" w:cs="Times New Roman"/>
        </w:rPr>
        <w:t>-</w:t>
      </w:r>
      <w:r w:rsidR="00786B84" w:rsidRPr="00786B84">
        <w:rPr>
          <w:rFonts w:ascii="Times New Roman" w:hAnsi="Times New Roman" w:cs="Times New Roman"/>
        </w:rPr>
        <w:t>scale past abuses, in order to ensure accountability, serve justice and achieve reconciliation.</w:t>
      </w:r>
      <w:r w:rsidR="008A5875">
        <w:rPr>
          <w:rFonts w:ascii="Times New Roman" w:hAnsi="Times New Roman" w:cs="Times New Roman"/>
        </w:rPr>
        <w:t>”</w:t>
      </w:r>
      <w:r w:rsidR="008A5875">
        <w:rPr>
          <w:rStyle w:val="FootnoteReference"/>
          <w:rFonts w:ascii="Times New Roman" w:hAnsi="Times New Roman" w:cs="Times New Roman"/>
        </w:rPr>
        <w:footnoteReference w:id="145"/>
      </w:r>
      <w:r w:rsidR="00E72502">
        <w:rPr>
          <w:rFonts w:ascii="Times New Roman" w:hAnsi="Times New Roman" w:cs="Times New Roman"/>
        </w:rPr>
        <w:t xml:space="preserve">  </w:t>
      </w:r>
      <w:r w:rsidR="008A5875">
        <w:rPr>
          <w:rFonts w:ascii="Times New Roman" w:hAnsi="Times New Roman" w:cs="Times New Roman"/>
        </w:rPr>
        <w:t>This is a very broad definition</w:t>
      </w:r>
      <w:r w:rsidR="00583CF0">
        <w:rPr>
          <w:rFonts w:ascii="Times New Roman" w:hAnsi="Times New Roman" w:cs="Times New Roman"/>
        </w:rPr>
        <w:t xml:space="preserve">, and the list of mechanisms that fall under the umbrella of transitional justice is long.  </w:t>
      </w:r>
      <w:r w:rsidR="008A5875">
        <w:rPr>
          <w:rFonts w:ascii="Times New Roman" w:hAnsi="Times New Roman" w:cs="Times New Roman"/>
        </w:rPr>
        <w:t>The Secret</w:t>
      </w:r>
      <w:r w:rsidR="001C50F0">
        <w:rPr>
          <w:rFonts w:ascii="Times New Roman" w:hAnsi="Times New Roman" w:cs="Times New Roman"/>
        </w:rPr>
        <w:t>ary General goes on to say that</w:t>
      </w:r>
      <w:r w:rsidR="008A5875">
        <w:rPr>
          <w:rFonts w:ascii="Times New Roman" w:hAnsi="Times New Roman" w:cs="Times New Roman"/>
        </w:rPr>
        <w:t xml:space="preserve"> “t</w:t>
      </w:r>
      <w:r w:rsidR="00786B84" w:rsidRPr="00786B84">
        <w:rPr>
          <w:rFonts w:ascii="Times New Roman" w:hAnsi="Times New Roman" w:cs="Times New Roman"/>
        </w:rPr>
        <w:t>hese</w:t>
      </w:r>
      <w:r w:rsidR="008A5875">
        <w:rPr>
          <w:rFonts w:ascii="Times New Roman" w:hAnsi="Times New Roman" w:cs="Times New Roman"/>
        </w:rPr>
        <w:t xml:space="preserve"> [processes]</w:t>
      </w:r>
      <w:r w:rsidR="00786B84" w:rsidRPr="00786B84">
        <w:rPr>
          <w:rFonts w:ascii="Times New Roman" w:hAnsi="Times New Roman" w:cs="Times New Roman"/>
        </w:rPr>
        <w:t xml:space="preserve"> may include both judicial and non</w:t>
      </w:r>
      <w:r w:rsidR="007B4EC9">
        <w:rPr>
          <w:rFonts w:ascii="Times New Roman" w:hAnsi="Times New Roman" w:cs="Times New Roman"/>
        </w:rPr>
        <w:t>-</w:t>
      </w:r>
      <w:r w:rsidR="00786B84" w:rsidRPr="00786B84">
        <w:rPr>
          <w:rFonts w:ascii="Times New Roman" w:hAnsi="Times New Roman" w:cs="Times New Roman"/>
        </w:rPr>
        <w:t>judicial mechanisms, with differing levels of international involvement (or none at all) and individual prosecutions, reparations, truth</w:t>
      </w:r>
      <w:r w:rsidR="007B4EC9">
        <w:rPr>
          <w:rFonts w:ascii="Times New Roman" w:hAnsi="Times New Roman" w:cs="Times New Roman"/>
        </w:rPr>
        <w:t>-</w:t>
      </w:r>
      <w:r w:rsidR="00786B84" w:rsidRPr="00786B84">
        <w:rPr>
          <w:rFonts w:ascii="Times New Roman" w:hAnsi="Times New Roman" w:cs="Times New Roman"/>
        </w:rPr>
        <w:t>seeking, institutional reform, vetting and dismissals, or a combination thereof.</w:t>
      </w:r>
      <w:r w:rsidR="001C50F0">
        <w:rPr>
          <w:rFonts w:ascii="Times New Roman" w:hAnsi="Times New Roman" w:cs="Times New Roman"/>
        </w:rPr>
        <w:t>”</w:t>
      </w:r>
      <w:r w:rsidR="00786B84">
        <w:rPr>
          <w:rStyle w:val="FootnoteReference"/>
          <w:rFonts w:ascii="Times New Roman" w:hAnsi="Times New Roman" w:cs="Times New Roman"/>
        </w:rPr>
        <w:footnoteReference w:id="146"/>
      </w:r>
    </w:p>
    <w:p w14:paraId="1F8FA87C" w14:textId="54A8A4EC" w:rsidR="00DA042F" w:rsidRDefault="008F346D" w:rsidP="007D30EA">
      <w:pPr>
        <w:widowControl w:val="0"/>
        <w:autoSpaceDE w:val="0"/>
        <w:autoSpaceDN w:val="0"/>
        <w:adjustRightInd w:val="0"/>
        <w:ind w:firstLine="720"/>
        <w:jc w:val="both"/>
        <w:rPr>
          <w:rFonts w:ascii="Times New Roman" w:hAnsi="Times New Roman" w:cs="Times New Roman"/>
        </w:rPr>
      </w:pPr>
      <w:r w:rsidRPr="008F346D">
        <w:rPr>
          <w:rFonts w:ascii="Times New Roman" w:hAnsi="Times New Roman" w:cs="Times New Roman"/>
        </w:rPr>
        <w:t xml:space="preserve">The term “reconciliation” has become a </w:t>
      </w:r>
      <w:r w:rsidR="00285BD4">
        <w:rPr>
          <w:rFonts w:ascii="Times New Roman" w:hAnsi="Times New Roman" w:cs="Times New Roman"/>
        </w:rPr>
        <w:t>popular phraseology</w:t>
      </w:r>
      <w:r w:rsidRPr="008F346D">
        <w:rPr>
          <w:rFonts w:ascii="Times New Roman" w:hAnsi="Times New Roman" w:cs="Times New Roman"/>
        </w:rPr>
        <w:t xml:space="preserve"> in recent years. </w:t>
      </w:r>
      <w:r w:rsidR="005B25FE">
        <w:rPr>
          <w:rFonts w:ascii="Times New Roman" w:hAnsi="Times New Roman" w:cs="Times New Roman"/>
        </w:rPr>
        <w:t xml:space="preserve"> </w:t>
      </w:r>
      <w:r w:rsidRPr="008F346D">
        <w:rPr>
          <w:rFonts w:ascii="Times New Roman" w:hAnsi="Times New Roman" w:cs="Times New Roman"/>
        </w:rPr>
        <w:t xml:space="preserve">Legal scholars, such as Jens </w:t>
      </w:r>
      <w:proofErr w:type="spellStart"/>
      <w:r w:rsidRPr="008F346D">
        <w:rPr>
          <w:rFonts w:ascii="Times New Roman" w:hAnsi="Times New Roman" w:cs="Times New Roman"/>
        </w:rPr>
        <w:t>Meierhenrich</w:t>
      </w:r>
      <w:proofErr w:type="spellEnd"/>
      <w:r w:rsidRPr="008F346D">
        <w:rPr>
          <w:rFonts w:ascii="Times New Roman" w:hAnsi="Times New Roman" w:cs="Times New Roman"/>
        </w:rPr>
        <w:t>, have called into question the legitimacy of the uses of this term.</w:t>
      </w:r>
      <w:r>
        <w:rPr>
          <w:rStyle w:val="FootnoteReference"/>
          <w:rFonts w:ascii="Times New Roman" w:hAnsi="Times New Roman" w:cs="Times New Roman"/>
        </w:rPr>
        <w:footnoteReference w:id="147"/>
      </w:r>
      <w:r w:rsidR="00D81E45">
        <w:rPr>
          <w:rFonts w:ascii="Times New Roman" w:hAnsi="Times New Roman" w:cs="Times New Roman"/>
        </w:rPr>
        <w:t xml:space="preserve">  </w:t>
      </w:r>
      <w:r w:rsidRPr="008F346D">
        <w:rPr>
          <w:rFonts w:ascii="Times New Roman" w:hAnsi="Times New Roman" w:cs="Times New Roman"/>
        </w:rPr>
        <w:t>He feels that frequently oppressed or victimized groups are forced into compromise in the name of reconciliation.</w:t>
      </w:r>
      <w:r w:rsidR="00D81E45">
        <w:rPr>
          <w:rStyle w:val="FootnoteReference"/>
          <w:rFonts w:ascii="Times New Roman" w:hAnsi="Times New Roman" w:cs="Times New Roman"/>
        </w:rPr>
        <w:footnoteReference w:id="148"/>
      </w:r>
      <w:r w:rsidR="00D81E45">
        <w:rPr>
          <w:rFonts w:ascii="Times New Roman" w:hAnsi="Times New Roman" w:cs="Times New Roman"/>
        </w:rPr>
        <w:t xml:space="preserve">  </w:t>
      </w:r>
      <w:r w:rsidRPr="008F346D">
        <w:rPr>
          <w:rFonts w:ascii="Times New Roman" w:hAnsi="Times New Roman" w:cs="Times New Roman"/>
        </w:rPr>
        <w:t xml:space="preserve">According to </w:t>
      </w:r>
      <w:proofErr w:type="spellStart"/>
      <w:r w:rsidRPr="008F346D">
        <w:rPr>
          <w:rFonts w:ascii="Times New Roman" w:hAnsi="Times New Roman" w:cs="Times New Roman"/>
        </w:rPr>
        <w:t>Meierhenrich</w:t>
      </w:r>
      <w:proofErr w:type="spellEnd"/>
      <w:r w:rsidRPr="008F346D">
        <w:rPr>
          <w:rFonts w:ascii="Times New Roman" w:hAnsi="Times New Roman" w:cs="Times New Roman"/>
        </w:rPr>
        <w:t>, the purpose of recon</w:t>
      </w:r>
      <w:r>
        <w:rPr>
          <w:rFonts w:ascii="Times New Roman" w:hAnsi="Times New Roman" w:cs="Times New Roman"/>
        </w:rPr>
        <w:t>ciliation is to resolve the dispute in a manner that is acceptable to all involved parties.</w:t>
      </w:r>
      <w:r w:rsidR="00D81E45">
        <w:rPr>
          <w:rStyle w:val="FootnoteReference"/>
          <w:rFonts w:ascii="Times New Roman" w:hAnsi="Times New Roman" w:cs="Times New Roman"/>
        </w:rPr>
        <w:footnoteReference w:id="149"/>
      </w:r>
      <w:r w:rsidR="00D81E45">
        <w:rPr>
          <w:rFonts w:ascii="Times New Roman" w:hAnsi="Times New Roman" w:cs="Times New Roman"/>
        </w:rPr>
        <w:t xml:space="preserve">  In this way, he argues, reconciliation and associated </w:t>
      </w:r>
      <w:r w:rsidR="00D81E45">
        <w:rPr>
          <w:rFonts w:ascii="Times New Roman" w:hAnsi="Times New Roman" w:cs="Times New Roman"/>
        </w:rPr>
        <w:lastRenderedPageBreak/>
        <w:t xml:space="preserve">processes (such as transitional justice) are </w:t>
      </w:r>
      <w:r w:rsidR="00BC7F0F">
        <w:rPr>
          <w:rFonts w:ascii="Times New Roman" w:hAnsi="Times New Roman" w:cs="Times New Roman"/>
        </w:rPr>
        <w:t>effectively</w:t>
      </w:r>
      <w:r w:rsidR="00D81E45">
        <w:rPr>
          <w:rFonts w:ascii="Times New Roman" w:hAnsi="Times New Roman" w:cs="Times New Roman"/>
        </w:rPr>
        <w:t xml:space="preserve"> a form of </w:t>
      </w:r>
      <w:r w:rsidR="00BC7F0F">
        <w:rPr>
          <w:rFonts w:ascii="Times New Roman" w:hAnsi="Times New Roman" w:cs="Times New Roman"/>
        </w:rPr>
        <w:t>alternative or appropriate dispute resolution</w:t>
      </w:r>
      <w:r w:rsidR="00D81E45">
        <w:rPr>
          <w:rFonts w:ascii="Times New Roman" w:hAnsi="Times New Roman" w:cs="Times New Roman"/>
        </w:rPr>
        <w:t>.</w:t>
      </w:r>
      <w:r w:rsidR="00D81E45">
        <w:rPr>
          <w:rStyle w:val="FootnoteReference"/>
          <w:rFonts w:ascii="Times New Roman" w:hAnsi="Times New Roman" w:cs="Times New Roman"/>
        </w:rPr>
        <w:footnoteReference w:id="150"/>
      </w:r>
      <w:r w:rsidR="0036327C">
        <w:rPr>
          <w:rFonts w:ascii="Times New Roman" w:hAnsi="Times New Roman" w:cs="Times New Roman"/>
        </w:rPr>
        <w:t xml:space="preserve">  </w:t>
      </w:r>
      <w:r w:rsidR="00BC7F0F">
        <w:rPr>
          <w:rFonts w:ascii="Times New Roman" w:hAnsi="Times New Roman" w:cs="Times New Roman"/>
        </w:rPr>
        <w:t xml:space="preserve">It could also be argued that because </w:t>
      </w:r>
      <w:r w:rsidR="00C747AE">
        <w:rPr>
          <w:rFonts w:ascii="Times New Roman" w:hAnsi="Times New Roman" w:cs="Times New Roman"/>
        </w:rPr>
        <w:t xml:space="preserve">many transitional justice mechanisms developed as an alternative to </w:t>
      </w:r>
      <w:r w:rsidR="00BC7F0F">
        <w:rPr>
          <w:rFonts w:ascii="Times New Roman" w:hAnsi="Times New Roman" w:cs="Times New Roman"/>
        </w:rPr>
        <w:t>international criminal prosecutions</w:t>
      </w:r>
      <w:r w:rsidR="00C747AE">
        <w:rPr>
          <w:rFonts w:ascii="Times New Roman" w:hAnsi="Times New Roman" w:cs="Times New Roman"/>
        </w:rPr>
        <w:t xml:space="preserve">, they are a form of </w:t>
      </w:r>
      <w:r w:rsidR="00BC7F0F">
        <w:rPr>
          <w:rFonts w:ascii="Times New Roman" w:hAnsi="Times New Roman" w:cs="Times New Roman"/>
        </w:rPr>
        <w:t xml:space="preserve">ADR. </w:t>
      </w:r>
    </w:p>
    <w:p w14:paraId="07175B8B" w14:textId="7A252E5F" w:rsidR="00DA042F" w:rsidRDefault="00181EB7" w:rsidP="007D30EA">
      <w:pPr>
        <w:widowControl w:val="0"/>
        <w:autoSpaceDE w:val="0"/>
        <w:autoSpaceDN w:val="0"/>
        <w:adjustRightInd w:val="0"/>
        <w:ind w:left="720" w:right="720"/>
        <w:jc w:val="both"/>
        <w:rPr>
          <w:rFonts w:ascii="Times New Roman" w:hAnsi="Times New Roman" w:cs="Times New Roman"/>
        </w:rPr>
      </w:pPr>
      <w:r>
        <w:rPr>
          <w:rFonts w:ascii="Times New Roman" w:hAnsi="Times New Roman" w:cs="Times New Roman"/>
        </w:rPr>
        <w:t xml:space="preserve">[ADR] </w:t>
      </w:r>
      <w:r w:rsidR="00AE6B98" w:rsidRPr="00AE6B98">
        <w:rPr>
          <w:rFonts w:ascii="Times New Roman" w:hAnsi="Times New Roman" w:cs="Times New Roman"/>
        </w:rPr>
        <w:t xml:space="preserve">refers to a set of practices and techniques aimed at permitting the resolution of legal disputes outside the courts. </w:t>
      </w:r>
      <w:r w:rsidR="00800F3C">
        <w:rPr>
          <w:rFonts w:ascii="Times New Roman" w:hAnsi="Times New Roman" w:cs="Times New Roman"/>
        </w:rPr>
        <w:t xml:space="preserve"> </w:t>
      </w:r>
      <w:r w:rsidR="00AE6B98" w:rsidRPr="00AE6B98">
        <w:rPr>
          <w:rFonts w:ascii="Times New Roman" w:hAnsi="Times New Roman" w:cs="Times New Roman"/>
        </w:rPr>
        <w:t>It is normally thought to encompass mediation,</w:t>
      </w:r>
      <w:r w:rsidR="00AE6B98">
        <w:rPr>
          <w:rFonts w:ascii="Times New Roman" w:hAnsi="Times New Roman" w:cs="Times New Roman"/>
        </w:rPr>
        <w:t xml:space="preserve"> arbitration, and a variety of ‘hybrid’</w:t>
      </w:r>
      <w:r w:rsidR="003B0A4F">
        <w:rPr>
          <w:rFonts w:ascii="Times New Roman" w:hAnsi="Times New Roman" w:cs="Times New Roman"/>
        </w:rPr>
        <w:t xml:space="preserve"> processes by which a neutral [party] </w:t>
      </w:r>
      <w:r w:rsidR="00AE6B98" w:rsidRPr="00AE6B98">
        <w:rPr>
          <w:rFonts w:ascii="Times New Roman" w:hAnsi="Times New Roman" w:cs="Times New Roman"/>
        </w:rPr>
        <w:t>facilitates the resolution of legal disputes without formal adjudication.</w:t>
      </w:r>
      <w:r w:rsidR="00AE6B98">
        <w:rPr>
          <w:rStyle w:val="FootnoteReference"/>
          <w:rFonts w:ascii="Times New Roman" w:hAnsi="Times New Roman" w:cs="Times New Roman"/>
        </w:rPr>
        <w:footnoteReference w:id="151"/>
      </w:r>
      <w:r w:rsidR="00DA042F">
        <w:rPr>
          <w:rFonts w:ascii="Times New Roman" w:hAnsi="Times New Roman" w:cs="Times New Roman"/>
        </w:rPr>
        <w:t xml:space="preserve"> </w:t>
      </w:r>
    </w:p>
    <w:p w14:paraId="41F15119" w14:textId="4C6CC059" w:rsidR="00AE6B98" w:rsidRDefault="00E72502" w:rsidP="00181EB7">
      <w:pPr>
        <w:widowControl w:val="0"/>
        <w:autoSpaceDE w:val="0"/>
        <w:autoSpaceDN w:val="0"/>
        <w:adjustRightInd w:val="0"/>
        <w:jc w:val="both"/>
        <w:rPr>
          <w:rFonts w:ascii="Times New Roman" w:hAnsi="Times New Roman" w:cs="Times New Roman"/>
        </w:rPr>
      </w:pPr>
      <w:r>
        <w:rPr>
          <w:rFonts w:ascii="Times New Roman" w:hAnsi="Times New Roman" w:cs="Times New Roman"/>
        </w:rPr>
        <w:t>Traditionally,</w:t>
      </w:r>
      <w:r w:rsidR="0048624B">
        <w:rPr>
          <w:rFonts w:ascii="Times New Roman" w:hAnsi="Times New Roman" w:cs="Times New Roman"/>
        </w:rPr>
        <w:t xml:space="preserve"> ADR is defined as comprising of</w:t>
      </w:r>
      <w:r>
        <w:rPr>
          <w:rFonts w:ascii="Times New Roman" w:hAnsi="Times New Roman" w:cs="Times New Roman"/>
        </w:rPr>
        <w:t xml:space="preserve"> mediation, negotiation</w:t>
      </w:r>
      <w:r w:rsidR="0048624B">
        <w:rPr>
          <w:rFonts w:ascii="Times New Roman" w:hAnsi="Times New Roman" w:cs="Times New Roman"/>
        </w:rPr>
        <w:t>, arbitration, and conciliation, however, it is no</w:t>
      </w:r>
      <w:r w:rsidR="00BC7F0F">
        <w:rPr>
          <w:rFonts w:ascii="Times New Roman" w:hAnsi="Times New Roman" w:cs="Times New Roman"/>
        </w:rPr>
        <w:t>t limited to these mechani</w:t>
      </w:r>
      <w:r w:rsidR="008C1C47">
        <w:rPr>
          <w:rFonts w:ascii="Times New Roman" w:hAnsi="Times New Roman" w:cs="Times New Roman"/>
        </w:rPr>
        <w:t>sms—some ADR scholars asser</w:t>
      </w:r>
      <w:r w:rsidR="00491645">
        <w:rPr>
          <w:rFonts w:ascii="Times New Roman" w:hAnsi="Times New Roman" w:cs="Times New Roman"/>
        </w:rPr>
        <w:t>t that any legally-based litigation alternative is a form of ADR.</w:t>
      </w:r>
      <w:r w:rsidR="00491645">
        <w:rPr>
          <w:rStyle w:val="FootnoteReference"/>
          <w:rFonts w:ascii="Times New Roman" w:hAnsi="Times New Roman" w:cs="Times New Roman"/>
        </w:rPr>
        <w:footnoteReference w:id="152"/>
      </w:r>
      <w:r w:rsidR="008F2C7A">
        <w:rPr>
          <w:rFonts w:ascii="Times New Roman" w:hAnsi="Times New Roman" w:cs="Times New Roman"/>
        </w:rPr>
        <w:t xml:space="preserve">  </w:t>
      </w:r>
      <w:proofErr w:type="spellStart"/>
      <w:r w:rsidR="00BC7F0F">
        <w:rPr>
          <w:rFonts w:ascii="Times New Roman" w:hAnsi="Times New Roman" w:cs="Times New Roman"/>
        </w:rPr>
        <w:t>Meierhenrich</w:t>
      </w:r>
      <w:proofErr w:type="spellEnd"/>
      <w:r w:rsidR="00BC7F0F">
        <w:rPr>
          <w:rFonts w:ascii="Times New Roman" w:hAnsi="Times New Roman" w:cs="Times New Roman"/>
        </w:rPr>
        <w:t xml:space="preserve"> asserts that the process of reconciliation is most similar to the ADR process of conciliation.</w:t>
      </w:r>
      <w:r w:rsidR="008F2C7A">
        <w:rPr>
          <w:rStyle w:val="FootnoteReference"/>
          <w:rFonts w:ascii="Times New Roman" w:hAnsi="Times New Roman" w:cs="Times New Roman"/>
        </w:rPr>
        <w:footnoteReference w:id="153"/>
      </w:r>
      <w:r w:rsidR="00BC3EC8">
        <w:rPr>
          <w:rFonts w:ascii="Times New Roman" w:hAnsi="Times New Roman" w:cs="Times New Roman"/>
        </w:rPr>
        <w:t xml:space="preserve"> </w:t>
      </w:r>
      <w:r w:rsidR="00BC7F0F">
        <w:rPr>
          <w:rFonts w:ascii="Times New Roman" w:hAnsi="Times New Roman" w:cs="Times New Roman"/>
        </w:rPr>
        <w:t xml:space="preserve"> </w:t>
      </w:r>
      <w:r w:rsidR="00285BD4" w:rsidRPr="00285BD4">
        <w:rPr>
          <w:rFonts w:ascii="Times New Roman" w:hAnsi="Times New Roman" w:cs="Times New Roman"/>
        </w:rPr>
        <w:t>It should be noted, however, that effe</w:t>
      </w:r>
      <w:r w:rsidR="00285BD4">
        <w:rPr>
          <w:rFonts w:ascii="Times New Roman" w:hAnsi="Times New Roman" w:cs="Times New Roman"/>
        </w:rPr>
        <w:t xml:space="preserve">ctive transitional justice processes can still involve some form of </w:t>
      </w:r>
      <w:r w:rsidR="008A044D">
        <w:rPr>
          <w:rFonts w:ascii="Times New Roman" w:hAnsi="Times New Roman" w:cs="Times New Roman"/>
        </w:rPr>
        <w:t>traditional</w:t>
      </w:r>
      <w:r w:rsidR="00285BD4">
        <w:rPr>
          <w:rFonts w:ascii="Times New Roman" w:hAnsi="Times New Roman" w:cs="Times New Roman"/>
        </w:rPr>
        <w:t xml:space="preserve"> adjudication.</w:t>
      </w:r>
    </w:p>
    <w:p w14:paraId="6A8BF384" w14:textId="2AB78CAE" w:rsidR="00DA042F" w:rsidRPr="007D30EA" w:rsidRDefault="007B4EC9" w:rsidP="007D30EA">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One of the most well-</w:t>
      </w:r>
      <w:r w:rsidR="007332E4">
        <w:rPr>
          <w:rFonts w:ascii="Times New Roman" w:hAnsi="Times New Roman" w:cs="Times New Roman"/>
        </w:rPr>
        <w:t xml:space="preserve">known transitional justice </w:t>
      </w:r>
      <w:r w:rsidR="009D2363">
        <w:rPr>
          <w:rFonts w:ascii="Times New Roman" w:hAnsi="Times New Roman" w:cs="Times New Roman"/>
        </w:rPr>
        <w:t>mechanism</w:t>
      </w:r>
      <w:r w:rsidR="007332E4">
        <w:rPr>
          <w:rFonts w:ascii="Times New Roman" w:hAnsi="Times New Roman" w:cs="Times New Roman"/>
        </w:rPr>
        <w:t>s</w:t>
      </w:r>
      <w:r w:rsidR="009D2363">
        <w:rPr>
          <w:rFonts w:ascii="Times New Roman" w:hAnsi="Times New Roman" w:cs="Times New Roman"/>
        </w:rPr>
        <w:t xml:space="preserve"> is truth commissions.</w:t>
      </w:r>
      <w:r w:rsidR="0048624B">
        <w:rPr>
          <w:rFonts w:ascii="Times New Roman" w:hAnsi="Times New Roman" w:cs="Times New Roman"/>
        </w:rPr>
        <w:t xml:space="preserve">  </w:t>
      </w:r>
      <w:r w:rsidR="009D2363">
        <w:rPr>
          <w:rFonts w:ascii="Times New Roman" w:hAnsi="Times New Roman" w:cs="Times New Roman"/>
        </w:rPr>
        <w:t>Truth commissions have been used across the globe in states such as El Salvador, Guatemala, Rwanda, Somalia, Argentina, the Former Yugoslavia, and South Africa, among others.</w:t>
      </w:r>
      <w:r w:rsidR="009D2363">
        <w:rPr>
          <w:rStyle w:val="FootnoteReference"/>
          <w:rFonts w:ascii="Times New Roman" w:hAnsi="Times New Roman" w:cs="Times New Roman"/>
        </w:rPr>
        <w:footnoteReference w:id="154"/>
      </w:r>
      <w:r w:rsidR="0048624B">
        <w:rPr>
          <w:rFonts w:ascii="Times New Roman" w:hAnsi="Times New Roman" w:cs="Times New Roman"/>
        </w:rPr>
        <w:t xml:space="preserve">  </w:t>
      </w:r>
      <w:r w:rsidR="009D2363">
        <w:rPr>
          <w:rFonts w:ascii="Times New Roman" w:hAnsi="Times New Roman" w:cs="Times New Roman"/>
        </w:rPr>
        <w:t xml:space="preserve">The specific structure of each truth commission is tailored to the needs of the state, but each </w:t>
      </w:r>
      <w:r w:rsidR="0048624B">
        <w:rPr>
          <w:rFonts w:ascii="Times New Roman" w:hAnsi="Times New Roman" w:cs="Times New Roman"/>
        </w:rPr>
        <w:t>one involves a degree of victim-</w:t>
      </w:r>
      <w:r w:rsidR="009D2363">
        <w:rPr>
          <w:rFonts w:ascii="Times New Roman" w:hAnsi="Times New Roman" w:cs="Times New Roman"/>
        </w:rPr>
        <w:t xml:space="preserve">offender mediation, and these commissions are typically implemented in situations in which </w:t>
      </w:r>
      <w:r w:rsidR="00491645">
        <w:rPr>
          <w:rFonts w:ascii="Times New Roman" w:hAnsi="Times New Roman" w:cs="Times New Roman"/>
        </w:rPr>
        <w:lastRenderedPageBreak/>
        <w:t>litigation</w:t>
      </w:r>
      <w:r w:rsidR="009D2363">
        <w:rPr>
          <w:rFonts w:ascii="Times New Roman" w:hAnsi="Times New Roman" w:cs="Times New Roman"/>
        </w:rPr>
        <w:t xml:space="preserve"> is thought to be inappropriate.</w:t>
      </w:r>
      <w:r w:rsidR="009D2363">
        <w:rPr>
          <w:rStyle w:val="FootnoteReference"/>
          <w:rFonts w:ascii="Times New Roman" w:hAnsi="Times New Roman" w:cs="Times New Roman"/>
        </w:rPr>
        <w:footnoteReference w:id="155"/>
      </w:r>
      <w:r w:rsidR="0048624B">
        <w:rPr>
          <w:rFonts w:ascii="Times New Roman" w:hAnsi="Times New Roman" w:cs="Times New Roman"/>
        </w:rPr>
        <w:t xml:space="preserve">  </w:t>
      </w:r>
      <w:r w:rsidR="009D2363">
        <w:rPr>
          <w:rFonts w:ascii="Times New Roman" w:hAnsi="Times New Roman" w:cs="Times New Roman"/>
        </w:rPr>
        <w:t>Truth commissions can be viewed as a form of mediation in that they enable all involved parties</w:t>
      </w:r>
      <w:r w:rsidR="009D2363">
        <w:rPr>
          <w:rStyle w:val="FootnoteReference"/>
          <w:rFonts w:ascii="Times New Roman" w:hAnsi="Times New Roman" w:cs="Times New Roman"/>
        </w:rPr>
        <w:footnoteReference w:id="156"/>
      </w:r>
      <w:r w:rsidR="009D2363">
        <w:rPr>
          <w:rFonts w:ascii="Times New Roman" w:hAnsi="Times New Roman" w:cs="Times New Roman"/>
        </w:rPr>
        <w:t xml:space="preserve"> to have their voices heard</w:t>
      </w:r>
      <w:r w:rsidR="00900A87">
        <w:rPr>
          <w:rFonts w:ascii="Times New Roman" w:hAnsi="Times New Roman" w:cs="Times New Roman"/>
        </w:rPr>
        <w:t xml:space="preserve"> through a process of sharing</w:t>
      </w:r>
      <w:r w:rsidR="009D2363">
        <w:rPr>
          <w:rFonts w:ascii="Times New Roman" w:hAnsi="Times New Roman" w:cs="Times New Roman"/>
        </w:rPr>
        <w:t xml:space="preserve">, and feel as though they played a role in shaping reconciliation processes. </w:t>
      </w:r>
      <w:r w:rsidR="00BC3EC8">
        <w:rPr>
          <w:rFonts w:ascii="Times New Roman" w:hAnsi="Times New Roman" w:cs="Times New Roman"/>
        </w:rPr>
        <w:t xml:space="preserve"> </w:t>
      </w:r>
      <w:r w:rsidR="0048624B">
        <w:rPr>
          <w:rFonts w:ascii="Times New Roman" w:hAnsi="Times New Roman" w:cs="Times New Roman"/>
        </w:rPr>
        <w:t>This sharing is significant</w:t>
      </w:r>
      <w:r w:rsidR="00DA042F">
        <w:rPr>
          <w:rFonts w:ascii="Times New Roman" w:hAnsi="Times New Roman" w:cs="Times New Roman"/>
        </w:rPr>
        <w:t>:</w:t>
      </w:r>
    </w:p>
    <w:p w14:paraId="13A8E287" w14:textId="3E69D9F3" w:rsidR="00DA042F" w:rsidRPr="00852509" w:rsidRDefault="0048624B" w:rsidP="007D30EA">
      <w:pPr>
        <w:widowControl w:val="0"/>
        <w:autoSpaceDE w:val="0"/>
        <w:autoSpaceDN w:val="0"/>
        <w:adjustRightInd w:val="0"/>
        <w:ind w:left="720" w:right="720"/>
        <w:jc w:val="both"/>
        <w:rPr>
          <w:rFonts w:ascii="Times New Roman" w:hAnsi="Times New Roman" w:cs="Times New Roman"/>
          <w:color w:val="000000" w:themeColor="text1"/>
        </w:rPr>
      </w:pPr>
      <w:r>
        <w:rPr>
          <w:rFonts w:ascii="Times New Roman" w:hAnsi="Times New Roman" w:cs="Times New Roman"/>
          <w:color w:val="000000" w:themeColor="text1"/>
        </w:rPr>
        <w:t>[n]</w:t>
      </w:r>
      <w:proofErr w:type="spellStart"/>
      <w:r w:rsidR="009D2363" w:rsidRPr="00240A5A">
        <w:rPr>
          <w:rFonts w:ascii="Times New Roman" w:hAnsi="Times New Roman" w:cs="Times New Roman"/>
          <w:color w:val="000000" w:themeColor="text1"/>
        </w:rPr>
        <w:t>ational</w:t>
      </w:r>
      <w:proofErr w:type="spellEnd"/>
      <w:r w:rsidR="009D2363" w:rsidRPr="00240A5A">
        <w:rPr>
          <w:rFonts w:ascii="Times New Roman" w:hAnsi="Times New Roman" w:cs="Times New Roman"/>
          <w:color w:val="000000" w:themeColor="text1"/>
        </w:rPr>
        <w:t xml:space="preserve"> reconciliation and individual rehabilitation are facilitated by acknowledging the suffering of victims and their families, helping to resolve uncertain cases, and allowing victims to tell their stories, thus serving a therapeutic purpose for an entire country, and imparting to the citizenry a sense of dignity and empowerment that could help move them beyond the pain of the past.</w:t>
      </w:r>
      <w:r w:rsidR="009D2363" w:rsidRPr="00240A5A">
        <w:rPr>
          <w:rStyle w:val="FootnoteReference"/>
          <w:rFonts w:ascii="Times New Roman" w:hAnsi="Times New Roman" w:cs="Times New Roman"/>
          <w:color w:val="000000" w:themeColor="text1"/>
        </w:rPr>
        <w:footnoteReference w:id="157"/>
      </w:r>
    </w:p>
    <w:p w14:paraId="7CD15A39" w14:textId="14FBB53A" w:rsidR="009D2363" w:rsidRDefault="009D2363" w:rsidP="006009D2">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This assessment of truth commissions echoes analyses and applications of mediation. </w:t>
      </w:r>
      <w:r w:rsidR="00583CF0">
        <w:rPr>
          <w:rFonts w:ascii="Times New Roman" w:hAnsi="Times New Roman" w:cs="Times New Roman"/>
        </w:rPr>
        <w:t xml:space="preserve"> </w:t>
      </w:r>
      <w:r>
        <w:rPr>
          <w:rFonts w:ascii="Times New Roman" w:hAnsi="Times New Roman" w:cs="Times New Roman"/>
        </w:rPr>
        <w:t>The primary purpose of mediation is to help the parties reach a mutually agreeable solution with the assistance of a neutral third party.</w:t>
      </w:r>
      <w:r>
        <w:rPr>
          <w:rStyle w:val="FootnoteReference"/>
          <w:rFonts w:ascii="Times New Roman" w:hAnsi="Times New Roman" w:cs="Times New Roman"/>
        </w:rPr>
        <w:footnoteReference w:id="158"/>
      </w:r>
      <w:r>
        <w:rPr>
          <w:rFonts w:ascii="Times New Roman" w:hAnsi="Times New Roman" w:cs="Times New Roman"/>
        </w:rPr>
        <w:t xml:space="preserve">  Like mediation, truth commissions seek to insure that parties feel as though they have played an active role in the process.</w:t>
      </w:r>
      <w:r w:rsidR="005A73C6">
        <w:rPr>
          <w:rStyle w:val="FootnoteReference"/>
          <w:rFonts w:ascii="Times New Roman" w:hAnsi="Times New Roman" w:cs="Times New Roman"/>
        </w:rPr>
        <w:footnoteReference w:id="159"/>
      </w:r>
      <w:r>
        <w:rPr>
          <w:rFonts w:ascii="Times New Roman" w:hAnsi="Times New Roman" w:cs="Times New Roman"/>
        </w:rPr>
        <w:t xml:space="preserve">  However, unlike traditional </w:t>
      </w:r>
      <w:r>
        <w:rPr>
          <w:rFonts w:ascii="Times New Roman" w:hAnsi="Times New Roman" w:cs="Times New Roman"/>
        </w:rPr>
        <w:lastRenderedPageBreak/>
        <w:t xml:space="preserve">concepts of mediation, truth commissions work towards an objective </w:t>
      </w:r>
      <w:r w:rsidR="0088306D">
        <w:rPr>
          <w:rFonts w:ascii="Times New Roman" w:hAnsi="Times New Roman" w:cs="Times New Roman"/>
        </w:rPr>
        <w:t xml:space="preserve">truth, and are predicated on a </w:t>
      </w:r>
      <w:r>
        <w:rPr>
          <w:rFonts w:ascii="Times New Roman" w:hAnsi="Times New Roman" w:cs="Times New Roman"/>
        </w:rPr>
        <w:t>right to truth.</w:t>
      </w:r>
      <w:r>
        <w:rPr>
          <w:rStyle w:val="FootnoteReference"/>
          <w:rFonts w:ascii="Times New Roman" w:hAnsi="Times New Roman" w:cs="Times New Roman"/>
        </w:rPr>
        <w:footnoteReference w:id="160"/>
      </w:r>
      <w:r>
        <w:rPr>
          <w:rFonts w:ascii="Times New Roman" w:hAnsi="Times New Roman" w:cs="Times New Roman"/>
        </w:rPr>
        <w:t xml:space="preserve">  Additionally, there is no single individual acting as mediator, but rather, a commission; and th</w:t>
      </w:r>
      <w:r w:rsidR="00757EFE">
        <w:rPr>
          <w:rFonts w:ascii="Times New Roman" w:hAnsi="Times New Roman" w:cs="Times New Roman"/>
        </w:rPr>
        <w:t>e parties are society at</w:t>
      </w:r>
      <w:r w:rsidR="00BC3EC8">
        <w:rPr>
          <w:rFonts w:ascii="Times New Roman" w:hAnsi="Times New Roman" w:cs="Times New Roman"/>
        </w:rPr>
        <w:t xml:space="preserve"> </w:t>
      </w:r>
      <w:r>
        <w:rPr>
          <w:rFonts w:ascii="Times New Roman" w:hAnsi="Times New Roman" w:cs="Times New Roman"/>
        </w:rPr>
        <w:t>large rather than private individuals.</w:t>
      </w:r>
      <w:r>
        <w:rPr>
          <w:rStyle w:val="FootnoteReference"/>
          <w:rFonts w:ascii="Times New Roman" w:hAnsi="Times New Roman" w:cs="Times New Roman"/>
        </w:rPr>
        <w:footnoteReference w:id="161"/>
      </w:r>
      <w:r>
        <w:rPr>
          <w:rFonts w:ascii="Times New Roman" w:hAnsi="Times New Roman" w:cs="Times New Roman"/>
        </w:rPr>
        <w:t xml:space="preserve"> </w:t>
      </w:r>
      <w:r w:rsidR="00BC3EC8">
        <w:rPr>
          <w:rFonts w:ascii="Times New Roman" w:hAnsi="Times New Roman" w:cs="Times New Roman"/>
        </w:rPr>
        <w:t xml:space="preserve"> </w:t>
      </w:r>
      <w:r w:rsidR="00E04000">
        <w:rPr>
          <w:rFonts w:ascii="Times New Roman" w:hAnsi="Times New Roman" w:cs="Times New Roman"/>
        </w:rPr>
        <w:t>Additionally, the commission is not usually a third-party neutral, but is backed by the transitional government.</w:t>
      </w:r>
      <w:r w:rsidR="00E04000">
        <w:rPr>
          <w:rStyle w:val="FootnoteReference"/>
          <w:rFonts w:ascii="Times New Roman" w:hAnsi="Times New Roman" w:cs="Times New Roman"/>
        </w:rPr>
        <w:footnoteReference w:id="162"/>
      </w:r>
      <w:r>
        <w:rPr>
          <w:rFonts w:ascii="Times New Roman" w:hAnsi="Times New Roman" w:cs="Times New Roman"/>
        </w:rPr>
        <w:t xml:space="preserve"> </w:t>
      </w:r>
      <w:r w:rsidR="00BC3EC8">
        <w:rPr>
          <w:rFonts w:ascii="Times New Roman" w:hAnsi="Times New Roman" w:cs="Times New Roman"/>
        </w:rPr>
        <w:t xml:space="preserve"> </w:t>
      </w:r>
      <w:r>
        <w:rPr>
          <w:rFonts w:ascii="Times New Roman" w:hAnsi="Times New Roman" w:cs="Times New Roman"/>
        </w:rPr>
        <w:t xml:space="preserve">Acknowledgement of the truth is believed to help a state collectively move beyond the atrocity and achieve a sense of closure, thus allowing </w:t>
      </w:r>
      <w:r w:rsidR="00954361">
        <w:rPr>
          <w:rFonts w:ascii="Times New Roman" w:hAnsi="Times New Roman" w:cs="Times New Roman"/>
        </w:rPr>
        <w:t>it</w:t>
      </w:r>
      <w:r>
        <w:rPr>
          <w:rFonts w:ascii="Times New Roman" w:hAnsi="Times New Roman" w:cs="Times New Roman"/>
        </w:rPr>
        <w:t xml:space="preserve"> to develop a new, stable system of governance.</w:t>
      </w:r>
      <w:r>
        <w:rPr>
          <w:rStyle w:val="FootnoteReference"/>
          <w:rFonts w:ascii="Times New Roman" w:hAnsi="Times New Roman" w:cs="Times New Roman"/>
        </w:rPr>
        <w:footnoteReference w:id="163"/>
      </w:r>
      <w:r>
        <w:rPr>
          <w:rFonts w:ascii="Times New Roman" w:hAnsi="Times New Roman" w:cs="Times New Roman"/>
        </w:rPr>
        <w:t xml:space="preserve"> </w:t>
      </w:r>
    </w:p>
    <w:p w14:paraId="1EF9D8A3" w14:textId="13953BDF" w:rsidR="007332E4" w:rsidRDefault="00583CF0" w:rsidP="006009D2">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 xml:space="preserve">If </w:t>
      </w:r>
      <w:r w:rsidR="0088306D">
        <w:rPr>
          <w:rFonts w:ascii="Times New Roman" w:hAnsi="Times New Roman" w:cs="Times New Roman"/>
        </w:rPr>
        <w:t>transitional justice</w:t>
      </w:r>
      <w:r>
        <w:rPr>
          <w:rFonts w:ascii="Times New Roman" w:hAnsi="Times New Roman" w:cs="Times New Roman"/>
        </w:rPr>
        <w:t xml:space="preserve"> mechanisms</w:t>
      </w:r>
      <w:r w:rsidR="0088306D">
        <w:rPr>
          <w:rFonts w:ascii="Times New Roman" w:hAnsi="Times New Roman" w:cs="Times New Roman"/>
        </w:rPr>
        <w:t xml:space="preserve"> such as truth commissions</w:t>
      </w:r>
      <w:r>
        <w:rPr>
          <w:rFonts w:ascii="Times New Roman" w:hAnsi="Times New Roman" w:cs="Times New Roman"/>
        </w:rPr>
        <w:t xml:space="preserve"> are supposed to “ensure accountability, serve justice and achieve reconciliation,”</w:t>
      </w:r>
      <w:r>
        <w:rPr>
          <w:rStyle w:val="FootnoteReference"/>
          <w:rFonts w:ascii="Times New Roman" w:hAnsi="Times New Roman" w:cs="Times New Roman"/>
        </w:rPr>
        <w:footnoteReference w:id="164"/>
      </w:r>
      <w:r>
        <w:rPr>
          <w:rFonts w:ascii="Times New Roman" w:hAnsi="Times New Roman" w:cs="Times New Roman"/>
        </w:rPr>
        <w:t xml:space="preserve"> and it is accepted that atrocities are a process rather than an event,</w:t>
      </w:r>
      <w:r w:rsidR="0088306D">
        <w:rPr>
          <w:rStyle w:val="FootnoteReference"/>
          <w:rFonts w:ascii="Times New Roman" w:hAnsi="Times New Roman" w:cs="Times New Roman"/>
        </w:rPr>
        <w:footnoteReference w:id="165"/>
      </w:r>
      <w:r>
        <w:rPr>
          <w:rFonts w:ascii="Times New Roman" w:hAnsi="Times New Roman" w:cs="Times New Roman"/>
        </w:rPr>
        <w:t xml:space="preserve"> then would it not be prudent to simply apply these mec</w:t>
      </w:r>
      <w:r w:rsidR="00BE15DF">
        <w:rPr>
          <w:rFonts w:ascii="Times New Roman" w:hAnsi="Times New Roman" w:cs="Times New Roman"/>
        </w:rPr>
        <w:t>hanisms earlier in the process—</w:t>
      </w:r>
      <w:r>
        <w:rPr>
          <w:rFonts w:ascii="Times New Roman" w:hAnsi="Times New Roman" w:cs="Times New Roman"/>
        </w:rPr>
        <w:t xml:space="preserve">say, before the onset of mass killings, ethnic cleansing </w:t>
      </w:r>
      <w:r w:rsidR="00FA10DF">
        <w:rPr>
          <w:rFonts w:ascii="Times New Roman" w:hAnsi="Times New Roman" w:cs="Times New Roman"/>
        </w:rPr>
        <w:t xml:space="preserve">or other such horrors? </w:t>
      </w:r>
      <w:r w:rsidR="00BC3EC8">
        <w:rPr>
          <w:rFonts w:ascii="Times New Roman" w:hAnsi="Times New Roman" w:cs="Times New Roman"/>
        </w:rPr>
        <w:t xml:space="preserve"> </w:t>
      </w:r>
      <w:r w:rsidR="00FA10DF">
        <w:rPr>
          <w:rFonts w:ascii="Times New Roman" w:hAnsi="Times New Roman" w:cs="Times New Roman"/>
        </w:rPr>
        <w:t>Why not employ some sort of commission that functions as a human rights ombudsman?</w:t>
      </w:r>
    </w:p>
    <w:p w14:paraId="0A815EFD" w14:textId="71208287" w:rsidR="00EA39DB" w:rsidRDefault="00583CF0" w:rsidP="006009D2">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 xml:space="preserve">In fact, it is not unprecedented for mediation or other forms of ADR to be suggested as </w:t>
      </w:r>
      <w:r w:rsidR="003B63AF">
        <w:rPr>
          <w:rFonts w:ascii="Times New Roman" w:hAnsi="Times New Roman" w:cs="Times New Roman"/>
        </w:rPr>
        <w:t xml:space="preserve">a </w:t>
      </w:r>
      <w:r>
        <w:rPr>
          <w:rFonts w:ascii="Times New Roman" w:hAnsi="Times New Roman" w:cs="Times New Roman"/>
        </w:rPr>
        <w:t>form of early intervention.  In the ICISS Repo</w:t>
      </w:r>
      <w:r w:rsidR="00482FDF">
        <w:rPr>
          <w:rFonts w:ascii="Times New Roman" w:hAnsi="Times New Roman" w:cs="Times New Roman"/>
        </w:rPr>
        <w:t>rt on R2P</w:t>
      </w:r>
      <w:r w:rsidR="00BC3EC8">
        <w:rPr>
          <w:rFonts w:ascii="Times New Roman" w:hAnsi="Times New Roman" w:cs="Times New Roman"/>
        </w:rPr>
        <w:t>,</w:t>
      </w:r>
      <w:r>
        <w:rPr>
          <w:rFonts w:ascii="Times New Roman" w:hAnsi="Times New Roman" w:cs="Times New Roman"/>
        </w:rPr>
        <w:t xml:space="preserve"> one of the categories of “direct prevention efforts”</w:t>
      </w:r>
      <w:r>
        <w:rPr>
          <w:rStyle w:val="FootnoteReference"/>
          <w:rFonts w:ascii="Times New Roman" w:hAnsi="Times New Roman" w:cs="Times New Roman"/>
        </w:rPr>
        <w:footnoteReference w:id="166"/>
      </w:r>
      <w:r>
        <w:rPr>
          <w:rFonts w:ascii="Times New Roman" w:hAnsi="Times New Roman" w:cs="Times New Roman"/>
        </w:rPr>
        <w:t xml:space="preserve"> is legal methods, and the first legal method listed is mediation.</w:t>
      </w:r>
      <w:r w:rsidR="00C35A2C">
        <w:rPr>
          <w:rStyle w:val="FootnoteReference"/>
          <w:rFonts w:ascii="Times New Roman" w:hAnsi="Times New Roman" w:cs="Times New Roman"/>
        </w:rPr>
        <w:footnoteReference w:id="167"/>
      </w:r>
      <w:r w:rsidR="0048624B">
        <w:rPr>
          <w:rFonts w:ascii="Times New Roman" w:hAnsi="Times New Roman" w:cs="Times New Roman"/>
        </w:rPr>
        <w:t xml:space="preserve">  </w:t>
      </w:r>
      <w:r w:rsidR="00330147">
        <w:rPr>
          <w:rFonts w:ascii="Times New Roman" w:hAnsi="Times New Roman" w:cs="Times New Roman"/>
        </w:rPr>
        <w:t xml:space="preserve">Arbitration </w:t>
      </w:r>
      <w:r w:rsidR="005D4F1B">
        <w:rPr>
          <w:rFonts w:ascii="Times New Roman" w:hAnsi="Times New Roman" w:cs="Times New Roman"/>
        </w:rPr>
        <w:t>is also presented as a form a direct legal prevention, as is monitoring compliance.</w:t>
      </w:r>
      <w:r w:rsidR="005D4F1B">
        <w:rPr>
          <w:rStyle w:val="FootnoteReference"/>
          <w:rFonts w:ascii="Times New Roman" w:hAnsi="Times New Roman" w:cs="Times New Roman"/>
        </w:rPr>
        <w:footnoteReference w:id="168"/>
      </w:r>
      <w:r w:rsidR="0048624B">
        <w:rPr>
          <w:rFonts w:ascii="Times New Roman" w:hAnsi="Times New Roman" w:cs="Times New Roman"/>
        </w:rPr>
        <w:t xml:space="preserve">  </w:t>
      </w:r>
      <w:r w:rsidR="00EA102E">
        <w:rPr>
          <w:rFonts w:ascii="Times New Roman" w:hAnsi="Times New Roman" w:cs="Times New Roman"/>
        </w:rPr>
        <w:t xml:space="preserve">Following the adoption of the principles of R2P by the </w:t>
      </w:r>
      <w:r w:rsidR="00607BBD">
        <w:rPr>
          <w:rFonts w:ascii="Times New Roman" w:hAnsi="Times New Roman" w:cs="Times New Roman"/>
        </w:rPr>
        <w:t>U.N.</w:t>
      </w:r>
      <w:r w:rsidR="00EA102E">
        <w:rPr>
          <w:rFonts w:ascii="Times New Roman" w:hAnsi="Times New Roman" w:cs="Times New Roman"/>
        </w:rPr>
        <w:t xml:space="preserve"> General Assembly, the </w:t>
      </w:r>
      <w:r w:rsidR="00607BBD">
        <w:rPr>
          <w:rFonts w:ascii="Times New Roman" w:hAnsi="Times New Roman" w:cs="Times New Roman"/>
        </w:rPr>
        <w:t>U.N.</w:t>
      </w:r>
      <w:r w:rsidR="00EA102E">
        <w:rPr>
          <w:rFonts w:ascii="Times New Roman" w:hAnsi="Times New Roman" w:cs="Times New Roman"/>
        </w:rPr>
        <w:t xml:space="preserve"> Department of Political Affairs developed a Mediation Support Unit as part of their efforts to strengthen the </w:t>
      </w:r>
      <w:r w:rsidR="00607BBD">
        <w:rPr>
          <w:rFonts w:ascii="Times New Roman" w:hAnsi="Times New Roman" w:cs="Times New Roman"/>
        </w:rPr>
        <w:t>U.N.</w:t>
      </w:r>
      <w:r w:rsidR="00EA102E">
        <w:rPr>
          <w:rFonts w:ascii="Times New Roman" w:hAnsi="Times New Roman" w:cs="Times New Roman"/>
        </w:rPr>
        <w:t>’s capacity for preventative diplomacy.</w:t>
      </w:r>
      <w:r w:rsidR="008A006E">
        <w:rPr>
          <w:rStyle w:val="FootnoteReference"/>
          <w:rFonts w:ascii="Times New Roman" w:hAnsi="Times New Roman" w:cs="Times New Roman"/>
        </w:rPr>
        <w:footnoteReference w:id="169"/>
      </w:r>
      <w:r w:rsidR="0048624B">
        <w:rPr>
          <w:rFonts w:ascii="Times New Roman" w:hAnsi="Times New Roman" w:cs="Times New Roman"/>
        </w:rPr>
        <w:t xml:space="preserve">  </w:t>
      </w:r>
      <w:r w:rsidR="008A006E">
        <w:rPr>
          <w:rFonts w:ascii="Times New Roman" w:hAnsi="Times New Roman" w:cs="Times New Roman"/>
        </w:rPr>
        <w:t>Many scholars</w:t>
      </w:r>
      <w:r w:rsidR="004469A4">
        <w:rPr>
          <w:rFonts w:ascii="Times New Roman" w:hAnsi="Times New Roman" w:cs="Times New Roman"/>
        </w:rPr>
        <w:t xml:space="preserve"> </w:t>
      </w:r>
      <w:r w:rsidR="008A006E">
        <w:rPr>
          <w:rFonts w:ascii="Times New Roman" w:hAnsi="Times New Roman" w:cs="Times New Roman"/>
        </w:rPr>
        <w:t xml:space="preserve">argue that </w:t>
      </w:r>
      <w:r w:rsidR="008A006E">
        <w:rPr>
          <w:rFonts w:ascii="Times New Roman" w:hAnsi="Times New Roman" w:cs="Times New Roman"/>
        </w:rPr>
        <w:lastRenderedPageBreak/>
        <w:t>the reconciliation process is, in and of itself, a form of ADR.</w:t>
      </w:r>
      <w:r w:rsidR="008A006E">
        <w:rPr>
          <w:rStyle w:val="FootnoteReference"/>
          <w:rFonts w:ascii="Times New Roman" w:hAnsi="Times New Roman" w:cs="Times New Roman"/>
        </w:rPr>
        <w:footnoteReference w:id="170"/>
      </w:r>
      <w:r w:rsidR="0048624B">
        <w:rPr>
          <w:rFonts w:ascii="Times New Roman" w:hAnsi="Times New Roman" w:cs="Times New Roman"/>
        </w:rPr>
        <w:t xml:space="preserve">  </w:t>
      </w:r>
      <w:r w:rsidR="004469A4">
        <w:rPr>
          <w:rFonts w:ascii="Times New Roman" w:hAnsi="Times New Roman" w:cs="Times New Roman"/>
        </w:rPr>
        <w:t xml:space="preserve">As Valerie </w:t>
      </w:r>
      <w:proofErr w:type="spellStart"/>
      <w:r w:rsidR="004469A4">
        <w:rPr>
          <w:rFonts w:ascii="Times New Roman" w:hAnsi="Times New Roman" w:cs="Times New Roman"/>
        </w:rPr>
        <w:t>Rosoux</w:t>
      </w:r>
      <w:proofErr w:type="spellEnd"/>
      <w:r w:rsidR="004469A4">
        <w:rPr>
          <w:rFonts w:ascii="Times New Roman" w:hAnsi="Times New Roman" w:cs="Times New Roman"/>
        </w:rPr>
        <w:t xml:space="preserve"> writes, </w:t>
      </w:r>
      <w:r w:rsidR="008A006E">
        <w:rPr>
          <w:rFonts w:ascii="Times New Roman" w:hAnsi="Times New Roman" w:cs="Times New Roman"/>
        </w:rPr>
        <w:t>“</w:t>
      </w:r>
      <w:r w:rsidR="004469A4">
        <w:rPr>
          <w:rFonts w:ascii="Times New Roman" w:hAnsi="Times New Roman" w:cs="Times New Roman"/>
        </w:rPr>
        <w:t>[c]</w:t>
      </w:r>
      <w:proofErr w:type="spellStart"/>
      <w:r w:rsidR="008A006E" w:rsidRPr="00F90C41">
        <w:rPr>
          <w:rFonts w:ascii="Times New Roman" w:hAnsi="Times New Roman" w:cs="Times New Roman"/>
        </w:rPr>
        <w:t>ase</w:t>
      </w:r>
      <w:proofErr w:type="spellEnd"/>
      <w:r w:rsidR="008A006E" w:rsidRPr="00F90C41">
        <w:rPr>
          <w:rFonts w:ascii="Times New Roman" w:hAnsi="Times New Roman" w:cs="Times New Roman"/>
        </w:rPr>
        <w:t xml:space="preserve"> studies indicate that the so</w:t>
      </w:r>
      <w:r w:rsidR="0048624B">
        <w:rPr>
          <w:rFonts w:ascii="Times New Roman" w:hAnsi="Times New Roman" w:cs="Times New Roman"/>
        </w:rPr>
        <w:t>-</w:t>
      </w:r>
      <w:r w:rsidR="008A006E">
        <w:rPr>
          <w:rFonts w:ascii="Times New Roman" w:hAnsi="Times New Roman" w:cs="Times New Roman"/>
        </w:rPr>
        <w:t>called ‘reconciliation process’</w:t>
      </w:r>
      <w:r w:rsidR="008A006E" w:rsidRPr="00F90C41">
        <w:rPr>
          <w:rFonts w:ascii="Times New Roman" w:hAnsi="Times New Roman" w:cs="Times New Roman"/>
        </w:rPr>
        <w:t xml:space="preserve"> can actually be considered as a continuous</w:t>
      </w:r>
      <w:r w:rsidR="008A006E">
        <w:rPr>
          <w:rFonts w:ascii="Times New Roman" w:hAnsi="Times New Roman" w:cs="Times New Roman"/>
        </w:rPr>
        <w:t xml:space="preserve"> negotiation after peace agree</w:t>
      </w:r>
      <w:r w:rsidR="008A006E" w:rsidRPr="00F90C41">
        <w:rPr>
          <w:rFonts w:ascii="Times New Roman" w:hAnsi="Times New Roman" w:cs="Times New Roman"/>
        </w:rPr>
        <w:t>ments are reached, sometimes through informal channels, but sometimes through more conventional negotiations.</w:t>
      </w:r>
      <w:r w:rsidR="008A006E">
        <w:rPr>
          <w:rFonts w:ascii="Times New Roman" w:hAnsi="Times New Roman" w:cs="Times New Roman"/>
        </w:rPr>
        <w:t>”</w:t>
      </w:r>
      <w:r w:rsidR="008A006E">
        <w:rPr>
          <w:rStyle w:val="FootnoteReference"/>
          <w:rFonts w:ascii="Times New Roman" w:hAnsi="Times New Roman" w:cs="Times New Roman"/>
        </w:rPr>
        <w:footnoteReference w:id="171"/>
      </w:r>
      <w:r w:rsidR="008A006E">
        <w:rPr>
          <w:rFonts w:ascii="Times New Roman" w:hAnsi="Times New Roman" w:cs="Times New Roman"/>
        </w:rPr>
        <w:t xml:space="preserve">  </w:t>
      </w:r>
      <w:r w:rsidR="00645025">
        <w:rPr>
          <w:rFonts w:ascii="Times New Roman" w:hAnsi="Times New Roman" w:cs="Times New Roman"/>
        </w:rPr>
        <w:t xml:space="preserve">Transitional justice processes often involve an amalgamation of ADR mechanisms. </w:t>
      </w:r>
    </w:p>
    <w:p w14:paraId="484A21B5" w14:textId="77777777" w:rsidR="00A04005" w:rsidRDefault="00A04005" w:rsidP="006009D2">
      <w:pPr>
        <w:widowControl w:val="0"/>
        <w:autoSpaceDE w:val="0"/>
        <w:autoSpaceDN w:val="0"/>
        <w:adjustRightInd w:val="0"/>
        <w:ind w:firstLine="720"/>
        <w:jc w:val="both"/>
        <w:rPr>
          <w:rFonts w:ascii="Times New Roman" w:hAnsi="Times New Roman" w:cs="Times New Roman"/>
        </w:rPr>
      </w:pPr>
    </w:p>
    <w:p w14:paraId="4BAB6CFF" w14:textId="57DE36E6" w:rsidR="00EA39DB" w:rsidRPr="00AB6113" w:rsidRDefault="00DA042F" w:rsidP="00AB6113">
      <w:pPr>
        <w:widowControl w:val="0"/>
        <w:autoSpaceDE w:val="0"/>
        <w:autoSpaceDN w:val="0"/>
        <w:adjustRightInd w:val="0"/>
        <w:jc w:val="center"/>
        <w:rPr>
          <w:rFonts w:ascii="Times New Roman" w:hAnsi="Times New Roman" w:cs="Times New Roman"/>
          <w:i/>
        </w:rPr>
      </w:pPr>
      <w:r w:rsidRPr="00AB6113">
        <w:rPr>
          <w:rFonts w:ascii="Times New Roman" w:hAnsi="Times New Roman" w:cs="Times New Roman"/>
        </w:rPr>
        <w:t xml:space="preserve">C.  </w:t>
      </w:r>
      <w:r w:rsidR="009D2363" w:rsidRPr="00AB6113">
        <w:rPr>
          <w:rFonts w:ascii="Times New Roman" w:hAnsi="Times New Roman" w:cs="Times New Roman"/>
          <w:i/>
        </w:rPr>
        <w:t>Applying ADR in Situations of Atrocity</w:t>
      </w:r>
      <w:r w:rsidR="009A1013" w:rsidRPr="00AB6113">
        <w:rPr>
          <w:rFonts w:ascii="Times New Roman" w:hAnsi="Times New Roman" w:cs="Times New Roman"/>
          <w:i/>
        </w:rPr>
        <w:t xml:space="preserve"> and Conflict</w:t>
      </w:r>
      <w:r w:rsidR="000D1F28">
        <w:rPr>
          <w:rStyle w:val="FootnoteReference"/>
          <w:rFonts w:ascii="Times New Roman" w:hAnsi="Times New Roman" w:cs="Times New Roman"/>
          <w:i/>
        </w:rPr>
        <w:footnoteReference w:id="172"/>
      </w:r>
    </w:p>
    <w:p w14:paraId="5EFC031B" w14:textId="77777777" w:rsidR="00A04005" w:rsidRPr="00852509" w:rsidRDefault="00A04005" w:rsidP="006009D2">
      <w:pPr>
        <w:pStyle w:val="ListParagraph"/>
        <w:widowControl w:val="0"/>
        <w:autoSpaceDE w:val="0"/>
        <w:autoSpaceDN w:val="0"/>
        <w:adjustRightInd w:val="0"/>
        <w:ind w:left="1080"/>
        <w:rPr>
          <w:rFonts w:ascii="Times New Roman" w:hAnsi="Times New Roman" w:cs="Times New Roman"/>
          <w:i/>
        </w:rPr>
      </w:pPr>
    </w:p>
    <w:p w14:paraId="2025B60D" w14:textId="65373C9E" w:rsidR="00EA39DB" w:rsidRDefault="009A1013" w:rsidP="006009D2">
      <w:pPr>
        <w:widowControl w:val="0"/>
        <w:autoSpaceDE w:val="0"/>
        <w:autoSpaceDN w:val="0"/>
        <w:adjustRightInd w:val="0"/>
        <w:ind w:firstLine="720"/>
        <w:jc w:val="both"/>
        <w:rPr>
          <w:rFonts w:ascii="Times New Roman" w:hAnsi="Times New Roman" w:cs="Times New Roman"/>
        </w:rPr>
      </w:pPr>
      <w:r w:rsidRPr="00633904">
        <w:rPr>
          <w:rFonts w:ascii="Times New Roman" w:hAnsi="Times New Roman" w:cs="Times New Roman"/>
        </w:rPr>
        <w:t>There are many situations</w:t>
      </w:r>
      <w:r w:rsidR="00633904" w:rsidRPr="00633904">
        <w:rPr>
          <w:rFonts w:ascii="Times New Roman" w:hAnsi="Times New Roman" w:cs="Times New Roman"/>
        </w:rPr>
        <w:t xml:space="preserve"> of atrocity and conflict</w:t>
      </w:r>
      <w:r w:rsidRPr="00633904">
        <w:rPr>
          <w:rFonts w:ascii="Times New Roman" w:hAnsi="Times New Roman" w:cs="Times New Roman"/>
        </w:rPr>
        <w:t xml:space="preserve"> in which </w:t>
      </w:r>
      <w:r w:rsidR="00633904" w:rsidRPr="00633904">
        <w:rPr>
          <w:rFonts w:ascii="Times New Roman" w:hAnsi="Times New Roman" w:cs="Times New Roman"/>
        </w:rPr>
        <w:t>various forms of ADR have been ut</w:t>
      </w:r>
      <w:r w:rsidR="00633904">
        <w:rPr>
          <w:rFonts w:ascii="Times New Roman" w:hAnsi="Times New Roman" w:cs="Times New Roman"/>
        </w:rPr>
        <w:t>ilized to bring about an end to the hos</w:t>
      </w:r>
      <w:r w:rsidR="0048624B">
        <w:rPr>
          <w:rFonts w:ascii="Times New Roman" w:hAnsi="Times New Roman" w:cs="Times New Roman"/>
        </w:rPr>
        <w:t xml:space="preserve">tilities.  In certain instances, these ADR </w:t>
      </w:r>
      <w:r w:rsidR="00633904">
        <w:rPr>
          <w:rFonts w:ascii="Times New Roman" w:hAnsi="Times New Roman" w:cs="Times New Roman"/>
        </w:rPr>
        <w:t>mechanisms were more effective than others.</w:t>
      </w:r>
      <w:r w:rsidR="00E45534">
        <w:rPr>
          <w:rFonts w:ascii="Times New Roman" w:hAnsi="Times New Roman" w:cs="Times New Roman"/>
        </w:rPr>
        <w:t xml:space="preserve"> </w:t>
      </w:r>
      <w:r w:rsidR="00633904">
        <w:rPr>
          <w:rFonts w:ascii="Times New Roman" w:hAnsi="Times New Roman" w:cs="Times New Roman"/>
        </w:rPr>
        <w:t xml:space="preserve"> This subsection provides a summary and analysis of some of the ways in which ADR has been employed in situations of atrocity and conflict. </w:t>
      </w:r>
    </w:p>
    <w:p w14:paraId="3DB31AE1" w14:textId="77777777" w:rsidR="007B2B06" w:rsidRPr="00852509" w:rsidRDefault="007B2B06" w:rsidP="006009D2">
      <w:pPr>
        <w:widowControl w:val="0"/>
        <w:autoSpaceDE w:val="0"/>
        <w:autoSpaceDN w:val="0"/>
        <w:adjustRightInd w:val="0"/>
        <w:ind w:firstLine="720"/>
        <w:jc w:val="both"/>
        <w:rPr>
          <w:rFonts w:ascii="Times New Roman" w:hAnsi="Times New Roman" w:cs="Times New Roman"/>
        </w:rPr>
      </w:pPr>
    </w:p>
    <w:p w14:paraId="61C5D5A8" w14:textId="58DC2E04" w:rsidR="00EA39DB" w:rsidRPr="00AB6113" w:rsidRDefault="005C7C2C" w:rsidP="00AB6113">
      <w:pPr>
        <w:widowControl w:val="0"/>
        <w:autoSpaceDE w:val="0"/>
        <w:autoSpaceDN w:val="0"/>
        <w:adjustRightInd w:val="0"/>
        <w:jc w:val="center"/>
        <w:rPr>
          <w:rFonts w:ascii="Times New Roman" w:hAnsi="Times New Roman" w:cs="Times New Roman"/>
        </w:rPr>
      </w:pPr>
      <w:r w:rsidRPr="00AB6113">
        <w:rPr>
          <w:rFonts w:ascii="Times New Roman" w:hAnsi="Times New Roman" w:cs="Times New Roman"/>
        </w:rPr>
        <w:t xml:space="preserve">1.  </w:t>
      </w:r>
      <w:r w:rsidR="00A80DC0" w:rsidRPr="00AB6113">
        <w:rPr>
          <w:rFonts w:ascii="Times New Roman" w:hAnsi="Times New Roman" w:cs="Times New Roman"/>
        </w:rPr>
        <w:t>The South African Truth and Reconciliation Commission</w:t>
      </w:r>
    </w:p>
    <w:p w14:paraId="1B1AF169" w14:textId="77777777" w:rsidR="007B2B06" w:rsidRPr="00852509" w:rsidRDefault="007B2B06" w:rsidP="006009D2">
      <w:pPr>
        <w:pStyle w:val="ListParagraph"/>
        <w:widowControl w:val="0"/>
        <w:autoSpaceDE w:val="0"/>
        <w:autoSpaceDN w:val="0"/>
        <w:adjustRightInd w:val="0"/>
        <w:ind w:left="1080"/>
        <w:rPr>
          <w:rFonts w:ascii="Times New Roman" w:hAnsi="Times New Roman" w:cs="Times New Roman"/>
        </w:rPr>
      </w:pPr>
    </w:p>
    <w:p w14:paraId="7DA26C10" w14:textId="717559EE" w:rsidR="00EA39DB" w:rsidRDefault="007B4EC9" w:rsidP="00445C4C">
      <w:pPr>
        <w:widowControl w:val="0"/>
        <w:autoSpaceDE w:val="0"/>
        <w:autoSpaceDN w:val="0"/>
        <w:adjustRightInd w:val="0"/>
        <w:jc w:val="both"/>
        <w:rPr>
          <w:rFonts w:ascii="Times New Roman" w:hAnsi="Times New Roman" w:cs="Times New Roman"/>
        </w:rPr>
      </w:pPr>
      <w:r>
        <w:rPr>
          <w:rFonts w:ascii="Times New Roman" w:hAnsi="Times New Roman" w:cs="Times New Roman"/>
        </w:rPr>
        <w:tab/>
      </w:r>
      <w:r w:rsidRPr="00FC4815">
        <w:rPr>
          <w:rFonts w:ascii="Times New Roman" w:hAnsi="Times New Roman" w:cs="Times New Roman"/>
        </w:rPr>
        <w:t>One of the most well-</w:t>
      </w:r>
      <w:r w:rsidR="00760A63" w:rsidRPr="00FC4815">
        <w:rPr>
          <w:rFonts w:ascii="Times New Roman" w:hAnsi="Times New Roman" w:cs="Times New Roman"/>
        </w:rPr>
        <w:t xml:space="preserve">known truth commissions is the </w:t>
      </w:r>
      <w:r w:rsidR="00DE76F1" w:rsidRPr="00FC4815">
        <w:rPr>
          <w:rFonts w:ascii="Times New Roman" w:hAnsi="Times New Roman" w:cs="Times New Roman"/>
        </w:rPr>
        <w:t>South African Truth and Reconciliation Commission (“TRC”).</w:t>
      </w:r>
      <w:r w:rsidR="00DE76F1" w:rsidRPr="00FC4815">
        <w:rPr>
          <w:rStyle w:val="FootnoteReference"/>
          <w:rFonts w:ascii="Times New Roman" w:hAnsi="Times New Roman" w:cs="Times New Roman"/>
        </w:rPr>
        <w:footnoteReference w:id="173"/>
      </w:r>
      <w:r w:rsidR="0048624B" w:rsidRPr="00FC4815">
        <w:rPr>
          <w:rFonts w:ascii="Times New Roman" w:hAnsi="Times New Roman" w:cs="Times New Roman"/>
        </w:rPr>
        <w:t xml:space="preserve">  </w:t>
      </w:r>
      <w:r w:rsidR="00424D56">
        <w:rPr>
          <w:rFonts w:ascii="Times New Roman" w:hAnsi="Times New Roman" w:cs="Times New Roman"/>
        </w:rPr>
        <w:t>The TRC was created as a part of the broader transitional justice scheme in South Africa in order to bring about reconciliation following the atrocities of apartheid.</w:t>
      </w:r>
      <w:r w:rsidR="00424D56">
        <w:rPr>
          <w:rStyle w:val="FootnoteReference"/>
          <w:rFonts w:ascii="Times New Roman" w:hAnsi="Times New Roman" w:cs="Times New Roman"/>
        </w:rPr>
        <w:footnoteReference w:id="174"/>
      </w:r>
      <w:r w:rsidR="0048624B">
        <w:rPr>
          <w:rFonts w:ascii="Times New Roman" w:hAnsi="Times New Roman" w:cs="Times New Roman"/>
        </w:rPr>
        <w:t xml:space="preserve">  </w:t>
      </w:r>
      <w:r w:rsidR="0078226D">
        <w:rPr>
          <w:rFonts w:ascii="Times New Roman" w:hAnsi="Times New Roman" w:cs="Times New Roman"/>
        </w:rPr>
        <w:t xml:space="preserve">The structure of the TRC </w:t>
      </w:r>
      <w:r w:rsidR="0078226D">
        <w:rPr>
          <w:rFonts w:ascii="Times New Roman" w:hAnsi="Times New Roman" w:cs="Times New Roman"/>
        </w:rPr>
        <w:lastRenderedPageBreak/>
        <w:t>is closely aligned with the general d</w:t>
      </w:r>
      <w:r w:rsidR="005E4DEE">
        <w:rPr>
          <w:rFonts w:ascii="Times New Roman" w:hAnsi="Times New Roman" w:cs="Times New Roman"/>
        </w:rPr>
        <w:t>escription of truth commissions</w:t>
      </w:r>
      <w:r w:rsidR="0078226D">
        <w:rPr>
          <w:rFonts w:ascii="Times New Roman" w:hAnsi="Times New Roman" w:cs="Times New Roman"/>
        </w:rPr>
        <w:t xml:space="preserve"> provided in Section III</w:t>
      </w:r>
      <w:r w:rsidR="003A1F93">
        <w:rPr>
          <w:rFonts w:ascii="Times New Roman" w:hAnsi="Times New Roman" w:cs="Times New Roman"/>
        </w:rPr>
        <w:t xml:space="preserve"> </w:t>
      </w:r>
      <w:r w:rsidR="005477EA">
        <w:rPr>
          <w:rFonts w:ascii="Times New Roman" w:hAnsi="Times New Roman" w:cs="Times New Roman"/>
        </w:rPr>
        <w:t>(</w:t>
      </w:r>
      <w:r w:rsidR="003A1F93">
        <w:rPr>
          <w:rFonts w:ascii="Times New Roman" w:hAnsi="Times New Roman" w:cs="Times New Roman"/>
        </w:rPr>
        <w:t>A</w:t>
      </w:r>
      <w:r w:rsidR="005477EA">
        <w:rPr>
          <w:rFonts w:ascii="Times New Roman" w:hAnsi="Times New Roman" w:cs="Times New Roman"/>
        </w:rPr>
        <w:t>)</w:t>
      </w:r>
      <w:r w:rsidR="005E4DEE">
        <w:rPr>
          <w:rFonts w:ascii="Times New Roman" w:hAnsi="Times New Roman" w:cs="Times New Roman"/>
        </w:rPr>
        <w:t xml:space="preserve"> of this note</w:t>
      </w:r>
      <w:r w:rsidR="0048624B">
        <w:rPr>
          <w:rFonts w:ascii="Times New Roman" w:hAnsi="Times New Roman" w:cs="Times New Roman"/>
        </w:rPr>
        <w:t xml:space="preserve">.  </w:t>
      </w:r>
      <w:r w:rsidR="003A1F93">
        <w:rPr>
          <w:rFonts w:ascii="Times New Roman" w:hAnsi="Times New Roman" w:cs="Times New Roman"/>
        </w:rPr>
        <w:t>However, the TRC differs from the</w:t>
      </w:r>
      <w:r w:rsidR="00202534">
        <w:rPr>
          <w:rFonts w:ascii="Times New Roman" w:hAnsi="Times New Roman" w:cs="Times New Roman"/>
        </w:rPr>
        <w:t xml:space="preserve"> modern</w:t>
      </w:r>
      <w:r w:rsidR="003A1F93">
        <w:rPr>
          <w:rFonts w:ascii="Times New Roman" w:hAnsi="Times New Roman" w:cs="Times New Roman"/>
        </w:rPr>
        <w:t xml:space="preserve"> conception of truth commissions in that it possessed certain legal powers, such as subpoena and search and seizure, among others.</w:t>
      </w:r>
      <w:r w:rsidR="003A1F93">
        <w:rPr>
          <w:rStyle w:val="FootnoteReference"/>
          <w:rFonts w:ascii="Times New Roman" w:hAnsi="Times New Roman" w:cs="Times New Roman"/>
        </w:rPr>
        <w:footnoteReference w:id="175"/>
      </w:r>
      <w:r w:rsidR="0048624B">
        <w:rPr>
          <w:rFonts w:ascii="Times New Roman" w:hAnsi="Times New Roman" w:cs="Times New Roman"/>
        </w:rPr>
        <w:t xml:space="preserve">  </w:t>
      </w:r>
      <w:r w:rsidR="001E17A8">
        <w:rPr>
          <w:rFonts w:ascii="Times New Roman" w:hAnsi="Times New Roman" w:cs="Times New Roman"/>
        </w:rPr>
        <w:t xml:space="preserve">In this way, the TRC combined </w:t>
      </w:r>
      <w:r w:rsidR="00201714">
        <w:rPr>
          <w:rFonts w:ascii="Times New Roman" w:hAnsi="Times New Roman" w:cs="Times New Roman"/>
        </w:rPr>
        <w:t xml:space="preserve">more traditional, litigation-based mechanisms with tools that are most </w:t>
      </w:r>
      <w:r w:rsidR="0048624B">
        <w:rPr>
          <w:rFonts w:ascii="Times New Roman" w:hAnsi="Times New Roman" w:cs="Times New Roman"/>
        </w:rPr>
        <w:t xml:space="preserve">appropriately described as ADR.  </w:t>
      </w:r>
      <w:r w:rsidR="00201714">
        <w:rPr>
          <w:rFonts w:ascii="Times New Roman" w:hAnsi="Times New Roman" w:cs="Times New Roman"/>
        </w:rPr>
        <w:t>The process of sharing one’s story and synthesizing it with the stories of others to construct an objectiv</w:t>
      </w:r>
      <w:r w:rsidR="0048624B">
        <w:rPr>
          <w:rFonts w:ascii="Times New Roman" w:hAnsi="Times New Roman" w:cs="Times New Roman"/>
        </w:rPr>
        <w:t xml:space="preserve">e truth is a form of mediation.  </w:t>
      </w:r>
      <w:r w:rsidR="00201714">
        <w:rPr>
          <w:rFonts w:ascii="Times New Roman" w:hAnsi="Times New Roman" w:cs="Times New Roman"/>
        </w:rPr>
        <w:t>Superimposing a legal framework on top of this story-telling mechanism imbues it with a sense of legitimacy, much</w:t>
      </w:r>
      <w:r w:rsidR="0048624B">
        <w:rPr>
          <w:rFonts w:ascii="Times New Roman" w:hAnsi="Times New Roman" w:cs="Times New Roman"/>
        </w:rPr>
        <w:t xml:space="preserve"> like traditional forms of ADR.</w:t>
      </w:r>
      <w:r w:rsidR="0048624B">
        <w:rPr>
          <w:rStyle w:val="FootnoteReference"/>
          <w:rFonts w:ascii="Times New Roman" w:hAnsi="Times New Roman" w:cs="Times New Roman"/>
        </w:rPr>
        <w:footnoteReference w:id="176"/>
      </w:r>
      <w:r w:rsidR="0048624B">
        <w:rPr>
          <w:rFonts w:ascii="Times New Roman" w:hAnsi="Times New Roman" w:cs="Times New Roman"/>
        </w:rPr>
        <w:t xml:space="preserve">  </w:t>
      </w:r>
      <w:r w:rsidR="001E17A8">
        <w:rPr>
          <w:rFonts w:ascii="Times New Roman" w:hAnsi="Times New Roman" w:cs="Times New Roman"/>
        </w:rPr>
        <w:t xml:space="preserve">The </w:t>
      </w:r>
      <w:r w:rsidR="0044062C">
        <w:rPr>
          <w:rFonts w:ascii="Times New Roman" w:hAnsi="Times New Roman" w:cs="Times New Roman"/>
        </w:rPr>
        <w:t>TRC</w:t>
      </w:r>
      <w:r w:rsidR="00AF7737">
        <w:rPr>
          <w:rFonts w:ascii="Times New Roman" w:hAnsi="Times New Roman" w:cs="Times New Roman"/>
        </w:rPr>
        <w:t xml:space="preserve"> and the effective transition </w:t>
      </w:r>
      <w:r w:rsidR="0044062C">
        <w:rPr>
          <w:rFonts w:ascii="Times New Roman" w:hAnsi="Times New Roman" w:cs="Times New Roman"/>
        </w:rPr>
        <w:t xml:space="preserve">process in South Africa </w:t>
      </w:r>
      <w:r w:rsidR="00A5181E">
        <w:rPr>
          <w:rFonts w:ascii="Times New Roman" w:hAnsi="Times New Roman" w:cs="Times New Roman"/>
        </w:rPr>
        <w:t xml:space="preserve">demonstrate </w:t>
      </w:r>
      <w:r w:rsidR="00D85640">
        <w:rPr>
          <w:rFonts w:ascii="Times New Roman" w:hAnsi="Times New Roman" w:cs="Times New Roman"/>
        </w:rPr>
        <w:t xml:space="preserve">that </w:t>
      </w:r>
      <w:r w:rsidR="002137A3">
        <w:rPr>
          <w:rFonts w:ascii="Times New Roman" w:hAnsi="Times New Roman" w:cs="Times New Roman"/>
        </w:rPr>
        <w:t xml:space="preserve">in order to successfully end a period of violent conflict, one must apply ADR mechanisms in addition to, if not in lieu of, international criminal prosecutions.  </w:t>
      </w:r>
    </w:p>
    <w:p w14:paraId="73AC05D5" w14:textId="77777777" w:rsidR="007B2B06" w:rsidRDefault="007B2B06" w:rsidP="00AB6113">
      <w:pPr>
        <w:widowControl w:val="0"/>
        <w:autoSpaceDE w:val="0"/>
        <w:autoSpaceDN w:val="0"/>
        <w:adjustRightInd w:val="0"/>
        <w:jc w:val="both"/>
        <w:rPr>
          <w:rFonts w:ascii="Times New Roman" w:hAnsi="Times New Roman" w:cs="Times New Roman"/>
        </w:rPr>
      </w:pPr>
    </w:p>
    <w:p w14:paraId="5B18A071" w14:textId="11DE26C0" w:rsidR="00EA39DB" w:rsidRPr="00AB6113" w:rsidRDefault="005C7C2C" w:rsidP="007D30EA">
      <w:pPr>
        <w:widowControl w:val="0"/>
        <w:autoSpaceDE w:val="0"/>
        <w:autoSpaceDN w:val="0"/>
        <w:adjustRightInd w:val="0"/>
        <w:jc w:val="center"/>
        <w:rPr>
          <w:rFonts w:ascii="Times New Roman" w:hAnsi="Times New Roman" w:cs="Times New Roman"/>
        </w:rPr>
      </w:pPr>
      <w:r w:rsidRPr="00AB6113">
        <w:rPr>
          <w:rFonts w:ascii="Times New Roman" w:hAnsi="Times New Roman" w:cs="Times New Roman"/>
        </w:rPr>
        <w:t xml:space="preserve">2.  </w:t>
      </w:r>
      <w:r w:rsidR="00A80DC0" w:rsidRPr="00AB6113">
        <w:rPr>
          <w:rFonts w:ascii="Times New Roman" w:hAnsi="Times New Roman" w:cs="Times New Roman"/>
        </w:rPr>
        <w:t>Kenyan</w:t>
      </w:r>
      <w:r w:rsidR="008A5875" w:rsidRPr="00AB6113">
        <w:rPr>
          <w:rFonts w:ascii="Times New Roman" w:hAnsi="Times New Roman" w:cs="Times New Roman"/>
        </w:rPr>
        <w:t xml:space="preserve"> Transitional Justice</w:t>
      </w:r>
      <w:r w:rsidR="00A80DC0" w:rsidRPr="00AB6113">
        <w:rPr>
          <w:rFonts w:ascii="Times New Roman" w:hAnsi="Times New Roman" w:cs="Times New Roman"/>
        </w:rPr>
        <w:t xml:space="preserve"> Mechanisms</w:t>
      </w:r>
    </w:p>
    <w:p w14:paraId="2968C187" w14:textId="77777777" w:rsidR="007B2B06" w:rsidRPr="00AB6113" w:rsidRDefault="007B2B06" w:rsidP="00AB6113">
      <w:pPr>
        <w:widowControl w:val="0"/>
        <w:autoSpaceDE w:val="0"/>
        <w:autoSpaceDN w:val="0"/>
        <w:adjustRightInd w:val="0"/>
        <w:rPr>
          <w:rFonts w:ascii="Times New Roman" w:hAnsi="Times New Roman" w:cs="Times New Roman"/>
        </w:rPr>
      </w:pPr>
    </w:p>
    <w:p w14:paraId="0861DBCB" w14:textId="3E2DA59E" w:rsidR="001C6540" w:rsidRDefault="00B852A1" w:rsidP="006009D2">
      <w:pPr>
        <w:widowControl w:val="0"/>
        <w:autoSpaceDE w:val="0"/>
        <w:autoSpaceDN w:val="0"/>
        <w:adjustRightInd w:val="0"/>
        <w:jc w:val="both"/>
        <w:rPr>
          <w:rFonts w:ascii="Times New Roman" w:hAnsi="Times New Roman" w:cs="Times New Roman"/>
        </w:rPr>
      </w:pPr>
      <w:r>
        <w:rPr>
          <w:rFonts w:ascii="Times New Roman" w:hAnsi="Times New Roman" w:cs="Times New Roman"/>
        </w:rPr>
        <w:tab/>
        <w:t>Like truth commissions, o</w:t>
      </w:r>
      <w:r w:rsidR="00913C98">
        <w:rPr>
          <w:rFonts w:ascii="Times New Roman" w:hAnsi="Times New Roman" w:cs="Times New Roman"/>
        </w:rPr>
        <w:t xml:space="preserve">ther forms of </w:t>
      </w:r>
      <w:r w:rsidR="003A1F93">
        <w:rPr>
          <w:rFonts w:ascii="Times New Roman" w:hAnsi="Times New Roman" w:cs="Times New Roman"/>
        </w:rPr>
        <w:t>post</w:t>
      </w:r>
      <w:r w:rsidR="00BE15DF">
        <w:rPr>
          <w:rFonts w:ascii="Times New Roman" w:hAnsi="Times New Roman" w:cs="Times New Roman"/>
        </w:rPr>
        <w:t>-</w:t>
      </w:r>
      <w:r w:rsidR="003A1F93">
        <w:rPr>
          <w:rFonts w:ascii="Times New Roman" w:hAnsi="Times New Roman" w:cs="Times New Roman"/>
        </w:rPr>
        <w:t>conflict</w:t>
      </w:r>
      <w:r w:rsidR="00913C98">
        <w:rPr>
          <w:rFonts w:ascii="Times New Roman" w:hAnsi="Times New Roman" w:cs="Times New Roman"/>
        </w:rPr>
        <w:t xml:space="preserve"> </w:t>
      </w:r>
      <w:r w:rsidR="003A1F93">
        <w:rPr>
          <w:rFonts w:ascii="Times New Roman" w:hAnsi="Times New Roman" w:cs="Times New Roman"/>
        </w:rPr>
        <w:t>ADR</w:t>
      </w:r>
      <w:r w:rsidR="00913C98">
        <w:rPr>
          <w:rFonts w:ascii="Times New Roman" w:hAnsi="Times New Roman" w:cs="Times New Roman"/>
        </w:rPr>
        <w:t xml:space="preserve"> are designed to serve a similar purpose; that is, bring a sense of c</w:t>
      </w:r>
      <w:r w:rsidR="00F10FA5">
        <w:rPr>
          <w:rFonts w:ascii="Times New Roman" w:hAnsi="Times New Roman" w:cs="Times New Roman"/>
        </w:rPr>
        <w:t>losure</w:t>
      </w:r>
      <w:r w:rsidR="002608A8">
        <w:rPr>
          <w:rFonts w:ascii="Times New Roman" w:hAnsi="Times New Roman" w:cs="Times New Roman"/>
        </w:rPr>
        <w:t xml:space="preserve"> or </w:t>
      </w:r>
      <w:r w:rsidR="00913C98">
        <w:rPr>
          <w:rFonts w:ascii="Times New Roman" w:hAnsi="Times New Roman" w:cs="Times New Roman"/>
        </w:rPr>
        <w:t xml:space="preserve">conciliation, and allow the state to collectively move on from the crimes </w:t>
      </w:r>
      <w:r w:rsidR="00535E6A">
        <w:rPr>
          <w:rFonts w:ascii="Times New Roman" w:hAnsi="Times New Roman" w:cs="Times New Roman"/>
        </w:rPr>
        <w:t>a</w:t>
      </w:r>
      <w:r w:rsidR="003B63AF">
        <w:rPr>
          <w:rFonts w:ascii="Times New Roman" w:hAnsi="Times New Roman" w:cs="Times New Roman"/>
        </w:rPr>
        <w:t>nd/</w:t>
      </w:r>
      <w:r w:rsidR="007F2ABD">
        <w:rPr>
          <w:rFonts w:ascii="Times New Roman" w:hAnsi="Times New Roman" w:cs="Times New Roman"/>
        </w:rPr>
        <w:t xml:space="preserve">or atrocities of the past.  </w:t>
      </w:r>
      <w:r w:rsidR="008015EF">
        <w:rPr>
          <w:rFonts w:ascii="Times New Roman" w:hAnsi="Times New Roman" w:cs="Times New Roman"/>
        </w:rPr>
        <w:t xml:space="preserve">However, not all </w:t>
      </w:r>
      <w:r w:rsidR="007F2ABD">
        <w:rPr>
          <w:rFonts w:ascii="Times New Roman" w:hAnsi="Times New Roman" w:cs="Times New Roman"/>
        </w:rPr>
        <w:t>forms of post-</w:t>
      </w:r>
      <w:r w:rsidR="00B31312">
        <w:rPr>
          <w:rFonts w:ascii="Times New Roman" w:hAnsi="Times New Roman" w:cs="Times New Roman"/>
        </w:rPr>
        <w:t xml:space="preserve">conflict </w:t>
      </w:r>
      <w:r w:rsidR="003A1F93">
        <w:rPr>
          <w:rFonts w:ascii="Times New Roman" w:hAnsi="Times New Roman" w:cs="Times New Roman"/>
        </w:rPr>
        <w:t>ADR</w:t>
      </w:r>
      <w:r w:rsidR="008015EF">
        <w:rPr>
          <w:rFonts w:ascii="Times New Roman" w:hAnsi="Times New Roman" w:cs="Times New Roman"/>
        </w:rPr>
        <w:t xml:space="preserve"> involve the entire affected population</w:t>
      </w:r>
      <w:r w:rsidR="00FD7797">
        <w:rPr>
          <w:rFonts w:ascii="Times New Roman" w:hAnsi="Times New Roman" w:cs="Times New Roman"/>
        </w:rPr>
        <w:t>.</w:t>
      </w:r>
      <w:r w:rsidR="00D33F6A">
        <w:rPr>
          <w:rFonts w:ascii="Times New Roman" w:hAnsi="Times New Roman" w:cs="Times New Roman"/>
        </w:rPr>
        <w:t xml:space="preserve"> </w:t>
      </w:r>
      <w:r w:rsidR="007F2ABD">
        <w:rPr>
          <w:rFonts w:ascii="Times New Roman" w:hAnsi="Times New Roman" w:cs="Times New Roman"/>
        </w:rPr>
        <w:t xml:space="preserve">  </w:t>
      </w:r>
      <w:r w:rsidR="008015EF" w:rsidRPr="00380BCD">
        <w:rPr>
          <w:rFonts w:ascii="Times New Roman" w:hAnsi="Times New Roman" w:cs="Times New Roman"/>
          <w:color w:val="000000" w:themeColor="text1"/>
        </w:rPr>
        <w:t xml:space="preserve">For example, </w:t>
      </w:r>
      <w:r w:rsidR="00535E6A" w:rsidRPr="00380BCD">
        <w:rPr>
          <w:rFonts w:ascii="Times New Roman" w:hAnsi="Times New Roman" w:cs="Times New Roman"/>
          <w:color w:val="000000" w:themeColor="text1"/>
        </w:rPr>
        <w:t xml:space="preserve">the reconciliation process in Kenya </w:t>
      </w:r>
      <w:r w:rsidR="00D15F47">
        <w:rPr>
          <w:rFonts w:ascii="Times New Roman" w:hAnsi="Times New Roman" w:cs="Times New Roman"/>
          <w:color w:val="000000" w:themeColor="text1"/>
        </w:rPr>
        <w:t>(called the Kenya National Dialogue</w:t>
      </w:r>
      <w:r>
        <w:rPr>
          <w:rFonts w:ascii="Times New Roman" w:hAnsi="Times New Roman" w:cs="Times New Roman"/>
          <w:color w:val="000000" w:themeColor="text1"/>
        </w:rPr>
        <w:t xml:space="preserve"> and Reconciliation)</w:t>
      </w:r>
      <w:r w:rsidR="00D15F47">
        <w:rPr>
          <w:rFonts w:ascii="Times New Roman" w:hAnsi="Times New Roman" w:cs="Times New Roman"/>
          <w:color w:val="000000" w:themeColor="text1"/>
        </w:rPr>
        <w:t xml:space="preserve"> </w:t>
      </w:r>
      <w:r w:rsidR="00535E6A" w:rsidRPr="00380BCD">
        <w:rPr>
          <w:rFonts w:ascii="Times New Roman" w:hAnsi="Times New Roman" w:cs="Times New Roman"/>
          <w:color w:val="000000" w:themeColor="text1"/>
        </w:rPr>
        <w:t>following the 2007 election violence relied heavily on mediation</w:t>
      </w:r>
      <w:r w:rsidR="00482F06" w:rsidRPr="00380BCD">
        <w:rPr>
          <w:rFonts w:ascii="Times New Roman" w:hAnsi="Times New Roman" w:cs="Times New Roman"/>
          <w:color w:val="000000" w:themeColor="text1"/>
        </w:rPr>
        <w:t>, but did not involve each and every single victim</w:t>
      </w:r>
      <w:r w:rsidR="00535E6A" w:rsidRPr="00380BCD">
        <w:rPr>
          <w:rFonts w:ascii="Times New Roman" w:hAnsi="Times New Roman" w:cs="Times New Roman"/>
          <w:color w:val="000000" w:themeColor="text1"/>
        </w:rPr>
        <w:t>.</w:t>
      </w:r>
      <w:r w:rsidR="00FD7797" w:rsidRPr="00380BCD">
        <w:rPr>
          <w:rStyle w:val="FootnoteReference"/>
          <w:rFonts w:ascii="Times New Roman" w:hAnsi="Times New Roman" w:cs="Times New Roman"/>
          <w:color w:val="000000" w:themeColor="text1"/>
        </w:rPr>
        <w:footnoteReference w:id="177"/>
      </w:r>
      <w:r w:rsidR="001C6540" w:rsidRPr="00380BCD">
        <w:rPr>
          <w:rFonts w:ascii="Times New Roman" w:hAnsi="Times New Roman" w:cs="Times New Roman"/>
          <w:color w:val="000000" w:themeColor="text1"/>
        </w:rPr>
        <w:t xml:space="preserve"> </w:t>
      </w:r>
    </w:p>
    <w:p w14:paraId="313218E8" w14:textId="73239E1E" w:rsidR="001C6540" w:rsidRDefault="001C6540" w:rsidP="00D8520B">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For 40 years, the Kenyan government was a single party system.</w:t>
      </w:r>
      <w:r>
        <w:rPr>
          <w:rStyle w:val="FootnoteReference"/>
          <w:rFonts w:ascii="Times New Roman" w:hAnsi="Times New Roman" w:cs="Times New Roman"/>
        </w:rPr>
        <w:footnoteReference w:id="178"/>
      </w:r>
      <w:r w:rsidR="007F2ABD">
        <w:rPr>
          <w:rFonts w:ascii="Times New Roman" w:hAnsi="Times New Roman" w:cs="Times New Roman"/>
        </w:rPr>
        <w:t xml:space="preserve">  </w:t>
      </w:r>
      <w:r>
        <w:rPr>
          <w:rFonts w:ascii="Times New Roman" w:hAnsi="Times New Roman" w:cs="Times New Roman"/>
        </w:rPr>
        <w:t>The 2002 elections marked the first time that an opposition party won a majority of seats in the Parliament.</w:t>
      </w:r>
      <w:r>
        <w:rPr>
          <w:rStyle w:val="FootnoteReference"/>
          <w:rFonts w:ascii="Times New Roman" w:hAnsi="Times New Roman" w:cs="Times New Roman"/>
        </w:rPr>
        <w:footnoteReference w:id="179"/>
      </w:r>
      <w:r w:rsidR="007F2ABD">
        <w:rPr>
          <w:rFonts w:ascii="Times New Roman" w:hAnsi="Times New Roman" w:cs="Times New Roman"/>
        </w:rPr>
        <w:t xml:space="preserve">  </w:t>
      </w:r>
      <w:r w:rsidR="00673846">
        <w:rPr>
          <w:rFonts w:ascii="Times New Roman" w:hAnsi="Times New Roman" w:cs="Times New Roman"/>
        </w:rPr>
        <w:t xml:space="preserve">However, the </w:t>
      </w:r>
      <w:r w:rsidR="004374D6">
        <w:rPr>
          <w:rFonts w:ascii="Times New Roman" w:hAnsi="Times New Roman" w:cs="Times New Roman"/>
        </w:rPr>
        <w:t>hopefulness</w:t>
      </w:r>
      <w:r w:rsidR="00673846">
        <w:rPr>
          <w:rFonts w:ascii="Times New Roman" w:hAnsi="Times New Roman" w:cs="Times New Roman"/>
        </w:rPr>
        <w:t xml:space="preserve"> wore off</w:t>
      </w:r>
      <w:r w:rsidR="00EA0FBD">
        <w:rPr>
          <w:rFonts w:ascii="Times New Roman" w:hAnsi="Times New Roman" w:cs="Times New Roman"/>
        </w:rPr>
        <w:t xml:space="preserve"> quickly, as Kenyans realized </w:t>
      </w:r>
      <w:r w:rsidR="00EA0FBD">
        <w:rPr>
          <w:rFonts w:ascii="Times New Roman" w:hAnsi="Times New Roman" w:cs="Times New Roman"/>
        </w:rPr>
        <w:lastRenderedPageBreak/>
        <w:t>that the new government was not any less corrupt than the old government had been.</w:t>
      </w:r>
      <w:r w:rsidR="00EA0FBD">
        <w:rPr>
          <w:rStyle w:val="FootnoteReference"/>
          <w:rFonts w:ascii="Times New Roman" w:hAnsi="Times New Roman" w:cs="Times New Roman"/>
        </w:rPr>
        <w:footnoteReference w:id="180"/>
      </w:r>
      <w:r w:rsidR="00EA0FBD">
        <w:rPr>
          <w:rFonts w:ascii="Times New Roman" w:hAnsi="Times New Roman" w:cs="Times New Roman"/>
        </w:rPr>
        <w:t xml:space="preserve">  The 2007 elections </w:t>
      </w:r>
      <w:r w:rsidR="00965BCB">
        <w:rPr>
          <w:rFonts w:ascii="Times New Roman" w:hAnsi="Times New Roman" w:cs="Times New Roman"/>
        </w:rPr>
        <w:t>began</w:t>
      </w:r>
      <w:r w:rsidR="00EA0FBD">
        <w:rPr>
          <w:rFonts w:ascii="Times New Roman" w:hAnsi="Times New Roman" w:cs="Times New Roman"/>
        </w:rPr>
        <w:t xml:space="preserve"> amidst much unrest and ethnic tension, which was fueled by the slow vote counting process</w:t>
      </w:r>
      <w:r w:rsidR="00811518">
        <w:rPr>
          <w:rFonts w:ascii="Times New Roman" w:hAnsi="Times New Roman" w:cs="Times New Roman"/>
        </w:rPr>
        <w:t>, amongst other issues</w:t>
      </w:r>
      <w:r w:rsidR="00EA0FBD">
        <w:rPr>
          <w:rFonts w:ascii="Times New Roman" w:hAnsi="Times New Roman" w:cs="Times New Roman"/>
        </w:rPr>
        <w:t>.</w:t>
      </w:r>
      <w:r w:rsidR="00EA0FBD">
        <w:rPr>
          <w:rStyle w:val="FootnoteReference"/>
          <w:rFonts w:ascii="Times New Roman" w:hAnsi="Times New Roman" w:cs="Times New Roman"/>
        </w:rPr>
        <w:footnoteReference w:id="181"/>
      </w:r>
      <w:r w:rsidR="007F2ABD">
        <w:rPr>
          <w:rFonts w:ascii="Times New Roman" w:hAnsi="Times New Roman" w:cs="Times New Roman"/>
        </w:rPr>
        <w:t xml:space="preserve">  </w:t>
      </w:r>
      <w:r w:rsidR="00EA0FBD">
        <w:rPr>
          <w:rFonts w:ascii="Times New Roman" w:hAnsi="Times New Roman" w:cs="Times New Roman"/>
        </w:rPr>
        <w:t>Violent riots erupted as the votes were still being counted, and after the incumbent was announced as the winner, the opposition leader declared that the election results were illegitimate.</w:t>
      </w:r>
      <w:r w:rsidR="00EA0FBD">
        <w:rPr>
          <w:rStyle w:val="FootnoteReference"/>
          <w:rFonts w:ascii="Times New Roman" w:hAnsi="Times New Roman" w:cs="Times New Roman"/>
        </w:rPr>
        <w:footnoteReference w:id="182"/>
      </w:r>
      <w:r w:rsidR="007F2ABD">
        <w:rPr>
          <w:rFonts w:ascii="Times New Roman" w:hAnsi="Times New Roman" w:cs="Times New Roman"/>
        </w:rPr>
        <w:t xml:space="preserve">  </w:t>
      </w:r>
      <w:r w:rsidR="003B63AF">
        <w:rPr>
          <w:rFonts w:ascii="Times New Roman" w:hAnsi="Times New Roman" w:cs="Times New Roman"/>
        </w:rPr>
        <w:t>The violence escalated rapidly</w:t>
      </w:r>
      <w:r w:rsidR="00A75C2A">
        <w:rPr>
          <w:rFonts w:ascii="Times New Roman" w:hAnsi="Times New Roman" w:cs="Times New Roman"/>
        </w:rPr>
        <w:t xml:space="preserve"> and lasted for two months, during which ove</w:t>
      </w:r>
      <w:r w:rsidR="003B63AF">
        <w:rPr>
          <w:rFonts w:ascii="Times New Roman" w:hAnsi="Times New Roman" w:cs="Times New Roman"/>
        </w:rPr>
        <w:t>r a thousand people were killed</w:t>
      </w:r>
      <w:r w:rsidR="00A75C2A">
        <w:rPr>
          <w:rFonts w:ascii="Times New Roman" w:hAnsi="Times New Roman" w:cs="Times New Roman"/>
        </w:rPr>
        <w:t xml:space="preserve"> and hundreds of thousands were displaced.</w:t>
      </w:r>
      <w:r w:rsidR="001A0AA8">
        <w:rPr>
          <w:rStyle w:val="FootnoteReference"/>
          <w:rFonts w:ascii="Times New Roman" w:hAnsi="Times New Roman" w:cs="Times New Roman"/>
        </w:rPr>
        <w:footnoteReference w:id="183"/>
      </w:r>
      <w:r w:rsidR="00A75C2A">
        <w:rPr>
          <w:rFonts w:ascii="Times New Roman" w:hAnsi="Times New Roman" w:cs="Times New Roman"/>
        </w:rPr>
        <w:t xml:space="preserve"> </w:t>
      </w:r>
    </w:p>
    <w:p w14:paraId="5ACFE7FD" w14:textId="4DA31487" w:rsidR="00EA39DB" w:rsidRDefault="00380BCD" w:rsidP="003E1EC1">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 xml:space="preserve">The African Union (“AU”) sent a team </w:t>
      </w:r>
      <w:r w:rsidR="00496B65">
        <w:rPr>
          <w:rFonts w:ascii="Times New Roman" w:hAnsi="Times New Roman" w:cs="Times New Roman"/>
        </w:rPr>
        <w:t xml:space="preserve">of religious and political leaders </w:t>
      </w:r>
      <w:r>
        <w:rPr>
          <w:rFonts w:ascii="Times New Roman" w:hAnsi="Times New Roman" w:cs="Times New Roman"/>
        </w:rPr>
        <w:t xml:space="preserve">to mediate and negotiate an end to the </w:t>
      </w:r>
      <w:r w:rsidR="007813CA">
        <w:rPr>
          <w:rFonts w:ascii="Times New Roman" w:hAnsi="Times New Roman" w:cs="Times New Roman"/>
        </w:rPr>
        <w:t>conflict.</w:t>
      </w:r>
      <w:r w:rsidR="007813CA">
        <w:rPr>
          <w:rStyle w:val="FootnoteReference"/>
          <w:rFonts w:ascii="Times New Roman" w:hAnsi="Times New Roman" w:cs="Times New Roman"/>
        </w:rPr>
        <w:footnoteReference w:id="184"/>
      </w:r>
      <w:r w:rsidR="007813CA">
        <w:rPr>
          <w:rFonts w:ascii="Times New Roman" w:hAnsi="Times New Roman" w:cs="Times New Roman"/>
        </w:rPr>
        <w:t xml:space="preserve">  One of the primary goals of this process was to promote reconciliation between </w:t>
      </w:r>
      <w:r w:rsidR="00115F0B">
        <w:rPr>
          <w:rFonts w:ascii="Times New Roman" w:hAnsi="Times New Roman" w:cs="Times New Roman"/>
        </w:rPr>
        <w:t>the various ethnic groups in Kenya, and to enable marginalized Kenyans to feel as though they had a</w:t>
      </w:r>
      <w:r w:rsidR="00496B65">
        <w:rPr>
          <w:rFonts w:ascii="Times New Roman" w:hAnsi="Times New Roman" w:cs="Times New Roman"/>
        </w:rPr>
        <w:t>n opportunity to be heard</w:t>
      </w:r>
      <w:r w:rsidR="00115F0B">
        <w:rPr>
          <w:rFonts w:ascii="Times New Roman" w:hAnsi="Times New Roman" w:cs="Times New Roman"/>
        </w:rPr>
        <w:t>.</w:t>
      </w:r>
      <w:r w:rsidR="00115F0B">
        <w:rPr>
          <w:rStyle w:val="FootnoteReference"/>
          <w:rFonts w:ascii="Times New Roman" w:hAnsi="Times New Roman" w:cs="Times New Roman"/>
        </w:rPr>
        <w:footnoteReference w:id="185"/>
      </w:r>
      <w:r w:rsidR="00A85C12">
        <w:rPr>
          <w:rFonts w:ascii="Times New Roman" w:hAnsi="Times New Roman" w:cs="Times New Roman"/>
        </w:rPr>
        <w:t xml:space="preserve">  The AU delegation</w:t>
      </w:r>
      <w:r w:rsidR="00811518">
        <w:rPr>
          <w:rFonts w:ascii="Times New Roman" w:hAnsi="Times New Roman" w:cs="Times New Roman"/>
        </w:rPr>
        <w:t>’s policy was based on the idea</w:t>
      </w:r>
      <w:r w:rsidR="00A85C12">
        <w:rPr>
          <w:rFonts w:ascii="Times New Roman" w:hAnsi="Times New Roman" w:cs="Times New Roman"/>
        </w:rPr>
        <w:t xml:space="preserve"> that </w:t>
      </w:r>
      <w:r w:rsidR="00D67CF1">
        <w:rPr>
          <w:rFonts w:ascii="Times New Roman" w:hAnsi="Times New Roman" w:cs="Times New Roman"/>
        </w:rPr>
        <w:t>the key to e</w:t>
      </w:r>
      <w:r w:rsidR="00954361">
        <w:rPr>
          <w:rFonts w:ascii="Times New Roman" w:hAnsi="Times New Roman" w:cs="Times New Roman"/>
        </w:rPr>
        <w:t>stablishing lasting peace was</w:t>
      </w:r>
      <w:r w:rsidR="00D67CF1">
        <w:rPr>
          <w:rFonts w:ascii="Times New Roman" w:hAnsi="Times New Roman" w:cs="Times New Roman"/>
        </w:rPr>
        <w:t xml:space="preserve"> “</w:t>
      </w:r>
      <w:r w:rsidR="00D67CF1" w:rsidRPr="00D67CF1">
        <w:rPr>
          <w:rFonts w:ascii="Times New Roman" w:hAnsi="Times New Roman" w:cs="Times New Roman"/>
        </w:rPr>
        <w:t xml:space="preserve">placing victims, rather than perpetrators, at the </w:t>
      </w:r>
      <w:proofErr w:type="spellStart"/>
      <w:r w:rsidR="00D67CF1" w:rsidRPr="00D67CF1">
        <w:rPr>
          <w:rFonts w:ascii="Times New Roman" w:hAnsi="Times New Roman" w:cs="Times New Roman"/>
        </w:rPr>
        <w:t>centre</w:t>
      </w:r>
      <w:proofErr w:type="spellEnd"/>
      <w:r w:rsidR="00136D2B">
        <w:rPr>
          <w:rFonts w:ascii="Times New Roman" w:hAnsi="Times New Roman" w:cs="Times New Roman"/>
        </w:rPr>
        <w:t xml:space="preserve"> </w:t>
      </w:r>
      <w:r w:rsidR="00D67CF1" w:rsidRPr="00D67CF1">
        <w:rPr>
          <w:rFonts w:ascii="Times New Roman" w:hAnsi="Times New Roman" w:cs="Times New Roman"/>
        </w:rPr>
        <w:t xml:space="preserve">of public attention, </w:t>
      </w:r>
      <w:r w:rsidR="00D67CF1">
        <w:rPr>
          <w:rFonts w:ascii="Times New Roman" w:hAnsi="Times New Roman" w:cs="Times New Roman"/>
        </w:rPr>
        <w:t>[in order to]</w:t>
      </w:r>
      <w:r w:rsidR="00D67CF1" w:rsidRPr="00D67CF1">
        <w:rPr>
          <w:rFonts w:ascii="Times New Roman" w:hAnsi="Times New Roman" w:cs="Times New Roman"/>
        </w:rPr>
        <w:t xml:space="preserve"> mobilize civic and governmental support for initiatives to provide t</w:t>
      </w:r>
      <w:r w:rsidR="00D67CF1">
        <w:rPr>
          <w:rFonts w:ascii="Times New Roman" w:hAnsi="Times New Roman" w:cs="Times New Roman"/>
        </w:rPr>
        <w:t>hem with much needed reparation.”</w:t>
      </w:r>
      <w:r w:rsidR="00D67CF1">
        <w:rPr>
          <w:rStyle w:val="FootnoteReference"/>
          <w:rFonts w:ascii="Times New Roman" w:hAnsi="Times New Roman" w:cs="Times New Roman"/>
        </w:rPr>
        <w:footnoteReference w:id="186"/>
      </w:r>
      <w:r w:rsidR="00D67CF1">
        <w:rPr>
          <w:rFonts w:ascii="Times New Roman" w:hAnsi="Times New Roman" w:cs="Times New Roman"/>
        </w:rPr>
        <w:t xml:space="preserve">  There</w:t>
      </w:r>
      <w:r w:rsidR="00A577C0">
        <w:rPr>
          <w:rFonts w:ascii="Times New Roman" w:hAnsi="Times New Roman" w:cs="Times New Roman"/>
        </w:rPr>
        <w:t xml:space="preserve"> were a variety of commissions and committees established to aid in the reconciliation process, including </w:t>
      </w:r>
      <w:r w:rsidR="005260C2">
        <w:rPr>
          <w:rFonts w:ascii="Times New Roman" w:hAnsi="Times New Roman" w:cs="Times New Roman"/>
        </w:rPr>
        <w:t>the Truth, Justice and Reconciliation Commission</w:t>
      </w:r>
      <w:r w:rsidR="00CF701A">
        <w:rPr>
          <w:rFonts w:ascii="Times New Roman" w:hAnsi="Times New Roman" w:cs="Times New Roman"/>
        </w:rPr>
        <w:t>.</w:t>
      </w:r>
      <w:r w:rsidR="00A200A5">
        <w:rPr>
          <w:rStyle w:val="FootnoteReference"/>
          <w:rFonts w:ascii="Times New Roman" w:hAnsi="Times New Roman" w:cs="Times New Roman"/>
        </w:rPr>
        <w:footnoteReference w:id="187"/>
      </w:r>
      <w:r w:rsidR="007F2ABD">
        <w:rPr>
          <w:rFonts w:ascii="Times New Roman" w:hAnsi="Times New Roman" w:cs="Times New Roman"/>
        </w:rPr>
        <w:t xml:space="preserve"> </w:t>
      </w:r>
      <w:r w:rsidR="00232897">
        <w:rPr>
          <w:rFonts w:ascii="Times New Roman" w:hAnsi="Times New Roman" w:cs="Times New Roman"/>
        </w:rPr>
        <w:t xml:space="preserve">While the effectiveness of these committees has been called into question in recent years, </w:t>
      </w:r>
      <w:r w:rsidR="006A2D45">
        <w:rPr>
          <w:rFonts w:ascii="Times New Roman" w:hAnsi="Times New Roman" w:cs="Times New Roman"/>
        </w:rPr>
        <w:t xml:space="preserve">political analysts such as </w:t>
      </w:r>
      <w:proofErr w:type="spellStart"/>
      <w:r w:rsidR="006A2D45">
        <w:rPr>
          <w:rFonts w:ascii="Times New Roman" w:hAnsi="Times New Roman" w:cs="Times New Roman"/>
        </w:rPr>
        <w:t>Halakhe</w:t>
      </w:r>
      <w:proofErr w:type="spellEnd"/>
      <w:r w:rsidR="006A2D45">
        <w:rPr>
          <w:rFonts w:ascii="Times New Roman" w:hAnsi="Times New Roman" w:cs="Times New Roman"/>
        </w:rPr>
        <w:t xml:space="preserve"> believe that the judicial reforms</w:t>
      </w:r>
      <w:r w:rsidR="00E97D7C">
        <w:rPr>
          <w:rFonts w:ascii="Times New Roman" w:hAnsi="Times New Roman" w:cs="Times New Roman"/>
        </w:rPr>
        <w:t xml:space="preserve"> lay the groundwork for strengthened accountability in the future.</w:t>
      </w:r>
      <w:r w:rsidR="003E1EC1">
        <w:rPr>
          <w:rStyle w:val="FootnoteReference"/>
          <w:rFonts w:ascii="Times New Roman" w:hAnsi="Times New Roman" w:cs="Times New Roman"/>
        </w:rPr>
        <w:footnoteReference w:id="188"/>
      </w:r>
      <w:r w:rsidR="00E97D7C">
        <w:rPr>
          <w:rFonts w:ascii="Times New Roman" w:hAnsi="Times New Roman" w:cs="Times New Roman"/>
        </w:rPr>
        <w:t xml:space="preserve"> </w:t>
      </w:r>
      <w:r w:rsidR="00AB6113">
        <w:rPr>
          <w:rFonts w:ascii="Times New Roman" w:hAnsi="Times New Roman" w:cs="Times New Roman"/>
        </w:rPr>
        <w:t xml:space="preserve"> </w:t>
      </w:r>
      <w:r w:rsidR="00496B65">
        <w:rPr>
          <w:rFonts w:ascii="Times New Roman" w:hAnsi="Times New Roman" w:cs="Times New Roman"/>
        </w:rPr>
        <w:t>Some transitional justice scholars feel that the Kenyan</w:t>
      </w:r>
      <w:r w:rsidR="009658EF">
        <w:rPr>
          <w:rFonts w:ascii="Times New Roman" w:hAnsi="Times New Roman" w:cs="Times New Roman"/>
        </w:rPr>
        <w:t xml:space="preserve"> process</w:t>
      </w:r>
      <w:r w:rsidR="00C945EE">
        <w:rPr>
          <w:rFonts w:ascii="Times New Roman" w:hAnsi="Times New Roman" w:cs="Times New Roman"/>
        </w:rPr>
        <w:t xml:space="preserve"> attained this level of success</w:t>
      </w:r>
      <w:r w:rsidR="009658EF">
        <w:rPr>
          <w:rFonts w:ascii="Times New Roman" w:hAnsi="Times New Roman" w:cs="Times New Roman"/>
        </w:rPr>
        <w:t xml:space="preserve"> because </w:t>
      </w:r>
      <w:r w:rsidR="00C37AA8">
        <w:rPr>
          <w:rFonts w:ascii="Times New Roman" w:hAnsi="Times New Roman" w:cs="Times New Roman"/>
        </w:rPr>
        <w:t>it focused on</w:t>
      </w:r>
      <w:r w:rsidR="00DB52C0">
        <w:rPr>
          <w:rFonts w:ascii="Times New Roman" w:hAnsi="Times New Roman" w:cs="Times New Roman"/>
        </w:rPr>
        <w:t xml:space="preserve"> the victims and their stories.</w:t>
      </w:r>
      <w:r w:rsidR="003E1EC1">
        <w:rPr>
          <w:rStyle w:val="FootnoteReference"/>
          <w:rFonts w:ascii="Times New Roman" w:hAnsi="Times New Roman" w:cs="Times New Roman"/>
        </w:rPr>
        <w:footnoteReference w:id="189"/>
      </w:r>
      <w:r w:rsidR="00AB6113">
        <w:rPr>
          <w:rFonts w:ascii="Times New Roman" w:hAnsi="Times New Roman" w:cs="Times New Roman"/>
        </w:rPr>
        <w:t xml:space="preserve"> </w:t>
      </w:r>
    </w:p>
    <w:p w14:paraId="32D52957" w14:textId="77777777" w:rsidR="007B2B06" w:rsidRDefault="007B2B06" w:rsidP="00AB6113">
      <w:pPr>
        <w:widowControl w:val="0"/>
        <w:autoSpaceDE w:val="0"/>
        <w:autoSpaceDN w:val="0"/>
        <w:adjustRightInd w:val="0"/>
        <w:jc w:val="both"/>
        <w:rPr>
          <w:rFonts w:ascii="Times New Roman" w:hAnsi="Times New Roman" w:cs="Times New Roman"/>
        </w:rPr>
      </w:pPr>
    </w:p>
    <w:p w14:paraId="369FCB84" w14:textId="05CCBFC7" w:rsidR="007B2B06" w:rsidRDefault="005C7C2C" w:rsidP="00AB6113">
      <w:pPr>
        <w:widowControl w:val="0"/>
        <w:autoSpaceDE w:val="0"/>
        <w:autoSpaceDN w:val="0"/>
        <w:adjustRightInd w:val="0"/>
        <w:jc w:val="center"/>
        <w:rPr>
          <w:rFonts w:ascii="Times New Roman" w:hAnsi="Times New Roman" w:cs="Times New Roman"/>
        </w:rPr>
      </w:pPr>
      <w:r w:rsidRPr="00AB6113">
        <w:rPr>
          <w:rFonts w:ascii="Times New Roman" w:hAnsi="Times New Roman" w:cs="Times New Roman"/>
        </w:rPr>
        <w:t xml:space="preserve">3.  </w:t>
      </w:r>
      <w:r w:rsidR="00ED0292" w:rsidRPr="00AB6113">
        <w:rPr>
          <w:rFonts w:ascii="Times New Roman" w:hAnsi="Times New Roman" w:cs="Times New Roman"/>
        </w:rPr>
        <w:t>Alternative Dispute Resolution and the Israeli</w:t>
      </w:r>
      <w:r w:rsidR="005B25FE" w:rsidRPr="00AB6113">
        <w:rPr>
          <w:rFonts w:ascii="Times New Roman" w:hAnsi="Times New Roman" w:cs="Times New Roman"/>
        </w:rPr>
        <w:t>-</w:t>
      </w:r>
      <w:r w:rsidR="00ED0292" w:rsidRPr="00AB6113">
        <w:rPr>
          <w:rFonts w:ascii="Times New Roman" w:hAnsi="Times New Roman" w:cs="Times New Roman"/>
        </w:rPr>
        <w:t>Palestinian Conflict</w:t>
      </w:r>
    </w:p>
    <w:p w14:paraId="73B6DD6B" w14:textId="77777777" w:rsidR="00AB6113" w:rsidRPr="00AB6113" w:rsidRDefault="00AB6113" w:rsidP="00AB6113">
      <w:pPr>
        <w:widowControl w:val="0"/>
        <w:autoSpaceDE w:val="0"/>
        <w:autoSpaceDN w:val="0"/>
        <w:adjustRightInd w:val="0"/>
        <w:rPr>
          <w:rFonts w:ascii="Times New Roman" w:hAnsi="Times New Roman" w:cs="Times New Roman"/>
        </w:rPr>
      </w:pPr>
    </w:p>
    <w:p w14:paraId="40C0230E" w14:textId="2E3AA237" w:rsidR="00656B26" w:rsidRDefault="001206DE" w:rsidP="00342183">
      <w:pPr>
        <w:widowControl w:val="0"/>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FF0000"/>
        </w:rPr>
        <w:tab/>
      </w:r>
      <w:r w:rsidR="0052075C">
        <w:rPr>
          <w:rFonts w:ascii="Times New Roman" w:hAnsi="Times New Roman" w:cs="Times New Roman"/>
          <w:color w:val="000000" w:themeColor="text1"/>
        </w:rPr>
        <w:t>Mediation is sometimes used in situations in</w:t>
      </w:r>
      <w:r w:rsidR="00A636DD">
        <w:rPr>
          <w:rFonts w:ascii="Times New Roman" w:hAnsi="Times New Roman" w:cs="Times New Roman"/>
          <w:color w:val="000000" w:themeColor="text1"/>
        </w:rPr>
        <w:t xml:space="preserve"> which the c</w:t>
      </w:r>
      <w:r w:rsidR="007F2ABD">
        <w:rPr>
          <w:rFonts w:ascii="Times New Roman" w:hAnsi="Times New Roman" w:cs="Times New Roman"/>
          <w:color w:val="000000" w:themeColor="text1"/>
        </w:rPr>
        <w:t>onflict is ongoing</w:t>
      </w:r>
      <w:r w:rsidR="00C17D99">
        <w:rPr>
          <w:rFonts w:ascii="Times New Roman" w:hAnsi="Times New Roman" w:cs="Times New Roman"/>
          <w:color w:val="000000" w:themeColor="text1"/>
        </w:rPr>
        <w:t xml:space="preserve">—for example, </w:t>
      </w:r>
      <w:r w:rsidR="00342183">
        <w:rPr>
          <w:rFonts w:ascii="Times New Roman" w:hAnsi="Times New Roman" w:cs="Times New Roman"/>
          <w:color w:val="000000" w:themeColor="text1"/>
        </w:rPr>
        <w:t>t</w:t>
      </w:r>
      <w:r w:rsidR="007F2ABD">
        <w:rPr>
          <w:rFonts w:ascii="Times New Roman" w:hAnsi="Times New Roman" w:cs="Times New Roman"/>
          <w:color w:val="000000" w:themeColor="text1"/>
        </w:rPr>
        <w:t>he Israeli-</w:t>
      </w:r>
      <w:r w:rsidR="00C6120D">
        <w:rPr>
          <w:rFonts w:ascii="Times New Roman" w:hAnsi="Times New Roman" w:cs="Times New Roman"/>
          <w:color w:val="000000" w:themeColor="text1"/>
        </w:rPr>
        <w:t>Palestinian conflict</w:t>
      </w:r>
      <w:r w:rsidR="009D185C">
        <w:rPr>
          <w:rFonts w:ascii="Times New Roman" w:hAnsi="Times New Roman" w:cs="Times New Roman"/>
          <w:color w:val="000000" w:themeColor="text1"/>
        </w:rPr>
        <w:t xml:space="preserve"> beg</w:t>
      </w:r>
      <w:r w:rsidR="009F3E0F">
        <w:rPr>
          <w:rFonts w:ascii="Times New Roman" w:hAnsi="Times New Roman" w:cs="Times New Roman"/>
          <w:color w:val="000000" w:themeColor="text1"/>
        </w:rPr>
        <w:t>a</w:t>
      </w:r>
      <w:r w:rsidR="009D185C">
        <w:rPr>
          <w:rFonts w:ascii="Times New Roman" w:hAnsi="Times New Roman" w:cs="Times New Roman"/>
          <w:color w:val="000000" w:themeColor="text1"/>
        </w:rPr>
        <w:t>n in 1948 and is unlikely to end in the near future.</w:t>
      </w:r>
      <w:r w:rsidR="009D185C">
        <w:rPr>
          <w:rStyle w:val="FootnoteReference"/>
          <w:rFonts w:ascii="Times New Roman" w:hAnsi="Times New Roman" w:cs="Times New Roman"/>
          <w:color w:val="000000" w:themeColor="text1"/>
        </w:rPr>
        <w:footnoteReference w:id="190"/>
      </w:r>
      <w:r w:rsidR="007F2ABD">
        <w:rPr>
          <w:rFonts w:ascii="Times New Roman" w:hAnsi="Times New Roman" w:cs="Times New Roman"/>
          <w:color w:val="000000" w:themeColor="text1"/>
        </w:rPr>
        <w:t xml:space="preserve"> </w:t>
      </w:r>
      <w:r w:rsidR="00AB6113">
        <w:rPr>
          <w:rFonts w:ascii="Times New Roman" w:hAnsi="Times New Roman" w:cs="Times New Roman"/>
          <w:color w:val="000000" w:themeColor="text1"/>
        </w:rPr>
        <w:t xml:space="preserve"> </w:t>
      </w:r>
      <w:r w:rsidR="00BE43F3">
        <w:rPr>
          <w:rFonts w:ascii="Times New Roman" w:hAnsi="Times New Roman" w:cs="Times New Roman"/>
          <w:color w:val="000000" w:themeColor="text1"/>
        </w:rPr>
        <w:t xml:space="preserve">While </w:t>
      </w:r>
      <w:r w:rsidR="008C697B">
        <w:rPr>
          <w:rFonts w:ascii="Times New Roman" w:hAnsi="Times New Roman" w:cs="Times New Roman"/>
          <w:color w:val="000000" w:themeColor="text1"/>
        </w:rPr>
        <w:t xml:space="preserve">Israel’s </w:t>
      </w:r>
      <w:r w:rsidR="000B65D3">
        <w:rPr>
          <w:rFonts w:ascii="Times New Roman" w:hAnsi="Times New Roman" w:cs="Times New Roman"/>
          <w:color w:val="000000" w:themeColor="text1"/>
        </w:rPr>
        <w:t>f</w:t>
      </w:r>
      <w:r w:rsidR="00BE43F3">
        <w:rPr>
          <w:rFonts w:ascii="Times New Roman" w:hAnsi="Times New Roman" w:cs="Times New Roman"/>
          <w:color w:val="000000" w:themeColor="text1"/>
        </w:rPr>
        <w:t>ounding is cause for celebration in much of the Jewish community, it was</w:t>
      </w:r>
      <w:r w:rsidR="00900409">
        <w:rPr>
          <w:rFonts w:ascii="Times New Roman" w:hAnsi="Times New Roman" w:cs="Times New Roman"/>
          <w:color w:val="000000" w:themeColor="text1"/>
        </w:rPr>
        <w:t xml:space="preserve"> </w:t>
      </w:r>
      <w:r w:rsidR="00342183">
        <w:rPr>
          <w:rFonts w:ascii="Times New Roman" w:hAnsi="Times New Roman" w:cs="Times New Roman"/>
          <w:color w:val="000000" w:themeColor="text1"/>
        </w:rPr>
        <w:t xml:space="preserve">a </w:t>
      </w:r>
      <w:r w:rsidR="00900409">
        <w:rPr>
          <w:rFonts w:ascii="Times New Roman" w:hAnsi="Times New Roman" w:cs="Times New Roman"/>
          <w:color w:val="000000" w:themeColor="text1"/>
        </w:rPr>
        <w:t>traumatic</w:t>
      </w:r>
      <w:r w:rsidR="00E05B4B">
        <w:rPr>
          <w:rFonts w:ascii="Times New Roman" w:hAnsi="Times New Roman" w:cs="Times New Roman"/>
          <w:color w:val="000000" w:themeColor="text1"/>
        </w:rPr>
        <w:t xml:space="preserve"> event for Palestinians, 80</w:t>
      </w:r>
      <w:r w:rsidR="00342183">
        <w:rPr>
          <w:rFonts w:ascii="Times New Roman" w:hAnsi="Times New Roman" w:cs="Times New Roman"/>
          <w:color w:val="000000" w:themeColor="text1"/>
        </w:rPr>
        <w:t>%</w:t>
      </w:r>
      <w:r w:rsidR="000B65D3">
        <w:rPr>
          <w:rFonts w:ascii="Times New Roman" w:hAnsi="Times New Roman" w:cs="Times New Roman"/>
          <w:color w:val="000000" w:themeColor="text1"/>
        </w:rPr>
        <w:t xml:space="preserve"> of whom either fled or were forced off of their land.</w:t>
      </w:r>
      <w:r w:rsidR="000B65D3">
        <w:rPr>
          <w:rStyle w:val="FootnoteReference"/>
          <w:rFonts w:ascii="Times New Roman" w:hAnsi="Times New Roman" w:cs="Times New Roman"/>
          <w:color w:val="000000" w:themeColor="text1"/>
        </w:rPr>
        <w:footnoteReference w:id="191"/>
      </w:r>
      <w:r w:rsidR="00656B26">
        <w:rPr>
          <w:rFonts w:ascii="Times New Roman" w:hAnsi="Times New Roman" w:cs="Times New Roman"/>
          <w:color w:val="000000" w:themeColor="text1"/>
        </w:rPr>
        <w:t xml:space="preserve">  These events created land disputes </w:t>
      </w:r>
      <w:r w:rsidR="009F3E0F">
        <w:rPr>
          <w:rFonts w:ascii="Times New Roman" w:hAnsi="Times New Roman" w:cs="Times New Roman"/>
          <w:color w:val="000000" w:themeColor="text1"/>
        </w:rPr>
        <w:t>t</w:t>
      </w:r>
      <w:r w:rsidR="00656B26">
        <w:rPr>
          <w:rFonts w:ascii="Times New Roman" w:hAnsi="Times New Roman" w:cs="Times New Roman"/>
          <w:color w:val="000000" w:themeColor="text1"/>
        </w:rPr>
        <w:t>h</w:t>
      </w:r>
      <w:r w:rsidR="009F3E0F">
        <w:rPr>
          <w:rFonts w:ascii="Times New Roman" w:hAnsi="Times New Roman" w:cs="Times New Roman"/>
          <w:color w:val="000000" w:themeColor="text1"/>
        </w:rPr>
        <w:t>at</w:t>
      </w:r>
      <w:r w:rsidR="00656B26">
        <w:rPr>
          <w:rFonts w:ascii="Times New Roman" w:hAnsi="Times New Roman" w:cs="Times New Roman"/>
          <w:color w:val="000000" w:themeColor="text1"/>
        </w:rPr>
        <w:t xml:space="preserve"> can be said to be the r</w:t>
      </w:r>
      <w:r w:rsidR="00306226">
        <w:rPr>
          <w:rFonts w:ascii="Times New Roman" w:hAnsi="Times New Roman" w:cs="Times New Roman"/>
          <w:color w:val="000000" w:themeColor="text1"/>
        </w:rPr>
        <w:t>oot cause of the modern Israeli-</w:t>
      </w:r>
      <w:r w:rsidR="00656B26">
        <w:rPr>
          <w:rFonts w:ascii="Times New Roman" w:hAnsi="Times New Roman" w:cs="Times New Roman"/>
          <w:color w:val="000000" w:themeColor="text1"/>
        </w:rPr>
        <w:t>Palestinian conflict.</w:t>
      </w:r>
      <w:r w:rsidR="00656B26">
        <w:rPr>
          <w:rStyle w:val="FootnoteReference"/>
          <w:rFonts w:ascii="Times New Roman" w:hAnsi="Times New Roman" w:cs="Times New Roman"/>
          <w:color w:val="000000" w:themeColor="text1"/>
        </w:rPr>
        <w:footnoteReference w:id="192"/>
      </w:r>
      <w:r w:rsidR="00656B26">
        <w:rPr>
          <w:rFonts w:ascii="Times New Roman" w:hAnsi="Times New Roman" w:cs="Times New Roman"/>
          <w:color w:val="000000" w:themeColor="text1"/>
        </w:rPr>
        <w:t xml:space="preserve"> </w:t>
      </w:r>
    </w:p>
    <w:p w14:paraId="2CD1C534" w14:textId="7428E2DE" w:rsidR="00EA39DB" w:rsidRDefault="0052075C" w:rsidP="009A68FC">
      <w:pPr>
        <w:widowControl w:val="0"/>
        <w:autoSpaceDE w:val="0"/>
        <w:autoSpaceDN w:val="0"/>
        <w:adjustRightInd w:val="0"/>
        <w:ind w:firstLine="720"/>
        <w:jc w:val="both"/>
        <w:rPr>
          <w:rFonts w:ascii="Times New Roman" w:hAnsi="Times New Roman" w:cs="Times New Roman"/>
          <w:color w:val="000000" w:themeColor="text1"/>
        </w:rPr>
      </w:pPr>
      <w:r>
        <w:rPr>
          <w:rFonts w:ascii="Times New Roman" w:hAnsi="Times New Roman" w:cs="Times New Roman"/>
          <w:color w:val="000000" w:themeColor="text1"/>
        </w:rPr>
        <w:t xml:space="preserve">In </w:t>
      </w:r>
      <w:r w:rsidR="003731C3">
        <w:rPr>
          <w:rFonts w:ascii="Times New Roman" w:hAnsi="Times New Roman" w:cs="Times New Roman"/>
          <w:color w:val="000000" w:themeColor="text1"/>
        </w:rPr>
        <w:t>1993, American</w:t>
      </w:r>
      <w:r>
        <w:rPr>
          <w:rFonts w:ascii="Times New Roman" w:hAnsi="Times New Roman" w:cs="Times New Roman"/>
          <w:color w:val="000000" w:themeColor="text1"/>
        </w:rPr>
        <w:t xml:space="preserve"> President Bill Clinton mediated a peace agreement between Israeli Prime Minister Yitzchak Rabin</w:t>
      </w:r>
      <w:r w:rsidR="00EC719E">
        <w:rPr>
          <w:rStyle w:val="FootnoteReference"/>
          <w:rFonts w:ascii="Times New Roman" w:hAnsi="Times New Roman" w:cs="Times New Roman"/>
          <w:color w:val="000000" w:themeColor="text1"/>
        </w:rPr>
        <w:footnoteReference w:id="193"/>
      </w:r>
      <w:r>
        <w:rPr>
          <w:rFonts w:ascii="Times New Roman" w:hAnsi="Times New Roman" w:cs="Times New Roman"/>
          <w:color w:val="000000" w:themeColor="text1"/>
        </w:rPr>
        <w:t xml:space="preserve"> and </w:t>
      </w:r>
      <w:r w:rsidR="003731C3">
        <w:rPr>
          <w:rFonts w:ascii="Times New Roman" w:hAnsi="Times New Roman" w:cs="Times New Roman"/>
          <w:color w:val="000000" w:themeColor="text1"/>
        </w:rPr>
        <w:t>the President of the Palestinian Authority, Yasser Arafat</w:t>
      </w:r>
      <w:r w:rsidR="00A636DD">
        <w:rPr>
          <w:rFonts w:ascii="Times New Roman" w:hAnsi="Times New Roman" w:cs="Times New Roman"/>
          <w:color w:val="000000" w:themeColor="text1"/>
        </w:rPr>
        <w:t>.</w:t>
      </w:r>
      <w:r w:rsidR="00A636DD">
        <w:rPr>
          <w:rStyle w:val="FootnoteReference"/>
          <w:rFonts w:ascii="Times New Roman" w:hAnsi="Times New Roman" w:cs="Times New Roman"/>
          <w:color w:val="000000" w:themeColor="text1"/>
        </w:rPr>
        <w:footnoteReference w:id="194"/>
      </w:r>
      <w:r w:rsidR="00A636DD">
        <w:rPr>
          <w:rFonts w:ascii="Times New Roman" w:hAnsi="Times New Roman" w:cs="Times New Roman"/>
          <w:color w:val="000000" w:themeColor="text1"/>
        </w:rPr>
        <w:t xml:space="preserve">  </w:t>
      </w:r>
      <w:r w:rsidR="003731C3">
        <w:rPr>
          <w:rFonts w:ascii="Times New Roman" w:hAnsi="Times New Roman" w:cs="Times New Roman"/>
          <w:color w:val="000000" w:themeColor="text1"/>
        </w:rPr>
        <w:t>This agreement became known as the Oslo Accords</w:t>
      </w:r>
      <w:r w:rsidR="00E352F2">
        <w:rPr>
          <w:rFonts w:ascii="Times New Roman" w:hAnsi="Times New Roman" w:cs="Times New Roman"/>
          <w:color w:val="000000" w:themeColor="text1"/>
        </w:rPr>
        <w:t>, and was instrumental in the creation and recognition of the Palestinian Authority.</w:t>
      </w:r>
      <w:r w:rsidR="00A636DD">
        <w:rPr>
          <w:rStyle w:val="FootnoteReference"/>
          <w:rFonts w:ascii="Times New Roman" w:hAnsi="Times New Roman" w:cs="Times New Roman"/>
          <w:color w:val="000000" w:themeColor="text1"/>
        </w:rPr>
        <w:footnoteReference w:id="195"/>
      </w:r>
      <w:r w:rsidR="00A26923">
        <w:rPr>
          <w:rFonts w:ascii="Times New Roman" w:hAnsi="Times New Roman" w:cs="Times New Roman"/>
          <w:color w:val="000000" w:themeColor="text1"/>
        </w:rPr>
        <w:t xml:space="preserve">  The Oslo Accords also led to mutual recognition between the Palestinian Liberation Organization and Israel, and created a roadmap for future negotiations.</w:t>
      </w:r>
      <w:r w:rsidR="00A26923">
        <w:rPr>
          <w:rStyle w:val="FootnoteReference"/>
          <w:rFonts w:ascii="Times New Roman" w:hAnsi="Times New Roman" w:cs="Times New Roman"/>
          <w:color w:val="000000" w:themeColor="text1"/>
        </w:rPr>
        <w:footnoteReference w:id="196"/>
      </w:r>
      <w:r w:rsidR="00645025">
        <w:rPr>
          <w:rFonts w:ascii="Times New Roman" w:hAnsi="Times New Roman" w:cs="Times New Roman"/>
          <w:color w:val="000000" w:themeColor="text1"/>
        </w:rPr>
        <w:t xml:space="preserve">  The Oslo Accords were </w:t>
      </w:r>
      <w:r w:rsidR="0091654A">
        <w:rPr>
          <w:rFonts w:ascii="Times New Roman" w:hAnsi="Times New Roman" w:cs="Times New Roman"/>
          <w:color w:val="000000" w:themeColor="text1"/>
        </w:rPr>
        <w:t>the result of a series of</w:t>
      </w:r>
      <w:r w:rsidR="00645025">
        <w:rPr>
          <w:rFonts w:ascii="Times New Roman" w:hAnsi="Times New Roman" w:cs="Times New Roman"/>
          <w:color w:val="000000" w:themeColor="text1"/>
        </w:rPr>
        <w:t xml:space="preserve"> negotiation</w:t>
      </w:r>
      <w:r w:rsidR="0091654A">
        <w:rPr>
          <w:rFonts w:ascii="Times New Roman" w:hAnsi="Times New Roman" w:cs="Times New Roman"/>
          <w:color w:val="000000" w:themeColor="text1"/>
        </w:rPr>
        <w:t>s</w:t>
      </w:r>
      <w:r w:rsidR="00645025">
        <w:rPr>
          <w:rFonts w:ascii="Times New Roman" w:hAnsi="Times New Roman" w:cs="Times New Roman"/>
          <w:color w:val="000000" w:themeColor="text1"/>
        </w:rPr>
        <w:t xml:space="preserve">, which </w:t>
      </w:r>
      <w:r w:rsidR="009A68FC">
        <w:rPr>
          <w:rFonts w:ascii="Times New Roman" w:hAnsi="Times New Roman" w:cs="Times New Roman"/>
          <w:color w:val="000000" w:themeColor="text1"/>
        </w:rPr>
        <w:t>are</w:t>
      </w:r>
      <w:r w:rsidR="00645025">
        <w:rPr>
          <w:rFonts w:ascii="Times New Roman" w:hAnsi="Times New Roman" w:cs="Times New Roman"/>
          <w:color w:val="000000" w:themeColor="text1"/>
        </w:rPr>
        <w:t xml:space="preserve"> a form of </w:t>
      </w:r>
      <w:r w:rsidR="00645025">
        <w:rPr>
          <w:rFonts w:ascii="Times New Roman" w:hAnsi="Times New Roman" w:cs="Times New Roman"/>
          <w:color w:val="000000" w:themeColor="text1"/>
        </w:rPr>
        <w:lastRenderedPageBreak/>
        <w:t>ADR.</w:t>
      </w:r>
      <w:r w:rsidR="00645025">
        <w:rPr>
          <w:rStyle w:val="FootnoteReference"/>
          <w:rFonts w:ascii="Times New Roman" w:hAnsi="Times New Roman" w:cs="Times New Roman"/>
          <w:color w:val="000000" w:themeColor="text1"/>
        </w:rPr>
        <w:footnoteReference w:id="197"/>
      </w:r>
      <w:r w:rsidR="00147271">
        <w:rPr>
          <w:rFonts w:ascii="Times New Roman" w:hAnsi="Times New Roman" w:cs="Times New Roman"/>
          <w:color w:val="000000" w:themeColor="text1"/>
        </w:rPr>
        <w:t xml:space="preserve">  While the Oslo Accords were highly successful in certain regards,</w:t>
      </w:r>
      <w:r w:rsidR="007F2ABD">
        <w:rPr>
          <w:rStyle w:val="FootnoteReference"/>
          <w:rFonts w:ascii="Times New Roman" w:hAnsi="Times New Roman" w:cs="Times New Roman"/>
          <w:color w:val="000000" w:themeColor="text1"/>
        </w:rPr>
        <w:footnoteReference w:id="198"/>
      </w:r>
      <w:r w:rsidR="00147271">
        <w:rPr>
          <w:rFonts w:ascii="Times New Roman" w:hAnsi="Times New Roman" w:cs="Times New Roman"/>
          <w:color w:val="000000" w:themeColor="text1"/>
        </w:rPr>
        <w:t xml:space="preserve"> they did not bring a</w:t>
      </w:r>
      <w:r w:rsidR="00E8074A">
        <w:rPr>
          <w:rFonts w:ascii="Times New Roman" w:hAnsi="Times New Roman" w:cs="Times New Roman"/>
          <w:color w:val="000000" w:themeColor="text1"/>
        </w:rPr>
        <w:t xml:space="preserve">bout an end to the conflict. And, in more recent years, they </w:t>
      </w:r>
      <w:r w:rsidR="003C6C4B">
        <w:rPr>
          <w:rFonts w:ascii="Times New Roman" w:hAnsi="Times New Roman" w:cs="Times New Roman"/>
          <w:color w:val="000000" w:themeColor="text1"/>
        </w:rPr>
        <w:t>have come to be criticized for solidifying the preexisting power structure.</w:t>
      </w:r>
      <w:r w:rsidR="003C6C4B">
        <w:rPr>
          <w:rStyle w:val="FootnoteReference"/>
          <w:rFonts w:ascii="Times New Roman" w:hAnsi="Times New Roman" w:cs="Times New Roman"/>
          <w:color w:val="000000" w:themeColor="text1"/>
        </w:rPr>
        <w:footnoteReference w:id="199"/>
      </w:r>
      <w:r w:rsidR="003C6C4B">
        <w:rPr>
          <w:rFonts w:ascii="Times New Roman" w:hAnsi="Times New Roman" w:cs="Times New Roman"/>
          <w:color w:val="000000" w:themeColor="text1"/>
        </w:rPr>
        <w:t xml:space="preserve"> </w:t>
      </w:r>
      <w:r w:rsidR="00B03937">
        <w:rPr>
          <w:rFonts w:ascii="Times New Roman" w:hAnsi="Times New Roman" w:cs="Times New Roman"/>
          <w:color w:val="000000" w:themeColor="text1"/>
        </w:rPr>
        <w:t xml:space="preserve"> </w:t>
      </w:r>
      <w:r w:rsidR="00582FB5">
        <w:rPr>
          <w:rFonts w:ascii="Times New Roman" w:hAnsi="Times New Roman" w:cs="Times New Roman"/>
          <w:color w:val="000000" w:themeColor="text1"/>
        </w:rPr>
        <w:t>This is a common iss</w:t>
      </w:r>
      <w:r w:rsidR="00C14982">
        <w:rPr>
          <w:rFonts w:ascii="Times New Roman" w:hAnsi="Times New Roman" w:cs="Times New Roman"/>
          <w:color w:val="000000" w:themeColor="text1"/>
        </w:rPr>
        <w:t xml:space="preserve">ue in negotiations. </w:t>
      </w:r>
      <w:r w:rsidR="00B03937">
        <w:rPr>
          <w:rFonts w:ascii="Times New Roman" w:hAnsi="Times New Roman" w:cs="Times New Roman"/>
          <w:color w:val="000000" w:themeColor="text1"/>
        </w:rPr>
        <w:t xml:space="preserve"> </w:t>
      </w:r>
      <w:r w:rsidR="00C14982">
        <w:rPr>
          <w:rFonts w:ascii="Times New Roman" w:hAnsi="Times New Roman" w:cs="Times New Roman"/>
          <w:color w:val="000000" w:themeColor="text1"/>
        </w:rPr>
        <w:t>If there is a power imbalance between the parties, the stronger party will likely have an advantage.</w:t>
      </w:r>
      <w:r w:rsidR="00C14982">
        <w:rPr>
          <w:rStyle w:val="FootnoteReference"/>
          <w:rFonts w:ascii="Times New Roman" w:hAnsi="Times New Roman" w:cs="Times New Roman"/>
          <w:color w:val="000000" w:themeColor="text1"/>
        </w:rPr>
        <w:footnoteReference w:id="200"/>
      </w:r>
      <w:r w:rsidR="00C14982">
        <w:rPr>
          <w:rFonts w:ascii="Times New Roman" w:hAnsi="Times New Roman" w:cs="Times New Roman"/>
          <w:color w:val="000000" w:themeColor="text1"/>
        </w:rPr>
        <w:t xml:space="preserve">  </w:t>
      </w:r>
      <w:r w:rsidR="002419EE">
        <w:rPr>
          <w:rFonts w:ascii="Times New Roman" w:hAnsi="Times New Roman" w:cs="Times New Roman"/>
          <w:color w:val="000000" w:themeColor="text1"/>
        </w:rPr>
        <w:t>In international, multinational, and national</w:t>
      </w:r>
      <w:r w:rsidR="002419EE">
        <w:rPr>
          <w:rStyle w:val="FootnoteReference"/>
          <w:rFonts w:ascii="Times New Roman" w:hAnsi="Times New Roman" w:cs="Times New Roman"/>
          <w:color w:val="000000" w:themeColor="text1"/>
        </w:rPr>
        <w:footnoteReference w:id="201"/>
      </w:r>
      <w:r w:rsidR="002419EE">
        <w:rPr>
          <w:rFonts w:ascii="Times New Roman" w:hAnsi="Times New Roman" w:cs="Times New Roman"/>
          <w:color w:val="000000" w:themeColor="text1"/>
        </w:rPr>
        <w:t xml:space="preserve"> negotiations and mediation, </w:t>
      </w:r>
      <w:r w:rsidR="00252FFF">
        <w:rPr>
          <w:rFonts w:ascii="Times New Roman" w:hAnsi="Times New Roman" w:cs="Times New Roman"/>
          <w:color w:val="000000" w:themeColor="text1"/>
        </w:rPr>
        <w:t>there is frequently a power imbalance, as one party is always a state actor, and the other party is likely a non-state actor.</w:t>
      </w:r>
      <w:r w:rsidR="009260E4">
        <w:rPr>
          <w:rStyle w:val="FootnoteReference"/>
          <w:rFonts w:ascii="Times New Roman" w:hAnsi="Times New Roman" w:cs="Times New Roman"/>
          <w:color w:val="000000" w:themeColor="text1"/>
        </w:rPr>
        <w:footnoteReference w:id="202"/>
      </w:r>
      <w:r w:rsidR="007F2ABD">
        <w:rPr>
          <w:rFonts w:ascii="Times New Roman" w:hAnsi="Times New Roman" w:cs="Times New Roman"/>
          <w:color w:val="000000" w:themeColor="text1"/>
        </w:rPr>
        <w:t xml:space="preserve">  </w:t>
      </w:r>
      <w:r w:rsidR="005B75AD">
        <w:rPr>
          <w:rFonts w:ascii="Times New Roman" w:hAnsi="Times New Roman" w:cs="Times New Roman"/>
          <w:color w:val="000000" w:themeColor="text1"/>
        </w:rPr>
        <w:t>In most cases, the st</w:t>
      </w:r>
      <w:r w:rsidR="007F2ABD">
        <w:rPr>
          <w:rFonts w:ascii="Times New Roman" w:hAnsi="Times New Roman" w:cs="Times New Roman"/>
          <w:color w:val="000000" w:themeColor="text1"/>
        </w:rPr>
        <w:t xml:space="preserve">ate actor will have more power.  </w:t>
      </w:r>
      <w:r w:rsidR="00DF133D">
        <w:rPr>
          <w:rFonts w:ascii="Times New Roman" w:hAnsi="Times New Roman" w:cs="Times New Roman"/>
          <w:color w:val="000000" w:themeColor="text1"/>
        </w:rPr>
        <w:t xml:space="preserve">Such issues must be taken into account when attempting to resolve conflict or </w:t>
      </w:r>
      <w:r w:rsidR="005D43DB">
        <w:rPr>
          <w:rFonts w:ascii="Times New Roman" w:hAnsi="Times New Roman" w:cs="Times New Roman"/>
          <w:color w:val="000000" w:themeColor="text1"/>
        </w:rPr>
        <w:t xml:space="preserve">an early atrocity </w:t>
      </w:r>
      <w:r w:rsidR="00BE15DF">
        <w:rPr>
          <w:rFonts w:ascii="Times New Roman" w:hAnsi="Times New Roman" w:cs="Times New Roman"/>
          <w:color w:val="000000" w:themeColor="text1"/>
        </w:rPr>
        <w:t>situation—</w:t>
      </w:r>
      <w:r w:rsidR="005D43DB">
        <w:rPr>
          <w:rFonts w:ascii="Times New Roman" w:hAnsi="Times New Roman" w:cs="Times New Roman"/>
          <w:color w:val="000000" w:themeColor="text1"/>
        </w:rPr>
        <w:t>the mediator or facilitator must make it clear to the state actor that they are being asked to “give up more” because they have more to begin with.</w:t>
      </w:r>
      <w:r w:rsidR="006C0DD2">
        <w:rPr>
          <w:rStyle w:val="FootnoteReference"/>
          <w:rFonts w:ascii="Times New Roman" w:hAnsi="Times New Roman" w:cs="Times New Roman"/>
          <w:color w:val="000000" w:themeColor="text1"/>
        </w:rPr>
        <w:footnoteReference w:id="203"/>
      </w:r>
    </w:p>
    <w:p w14:paraId="279833BB" w14:textId="77777777" w:rsidR="00D70C65" w:rsidRPr="00C6120D" w:rsidRDefault="00D70C65" w:rsidP="006009D2">
      <w:pPr>
        <w:widowControl w:val="0"/>
        <w:autoSpaceDE w:val="0"/>
        <w:autoSpaceDN w:val="0"/>
        <w:adjustRightInd w:val="0"/>
        <w:ind w:firstLine="720"/>
        <w:jc w:val="both"/>
        <w:rPr>
          <w:rFonts w:ascii="Times New Roman" w:hAnsi="Times New Roman" w:cs="Times New Roman"/>
          <w:color w:val="000000" w:themeColor="text1"/>
        </w:rPr>
      </w:pPr>
    </w:p>
    <w:p w14:paraId="068725B3" w14:textId="0358C5A3" w:rsidR="00EA39DB" w:rsidRPr="00AB6113" w:rsidRDefault="005C7C2C" w:rsidP="00AB6113">
      <w:pPr>
        <w:widowControl w:val="0"/>
        <w:autoSpaceDE w:val="0"/>
        <w:autoSpaceDN w:val="0"/>
        <w:adjustRightInd w:val="0"/>
        <w:jc w:val="center"/>
        <w:rPr>
          <w:rFonts w:ascii="Times New Roman" w:hAnsi="Times New Roman" w:cs="Times New Roman"/>
          <w:i/>
        </w:rPr>
      </w:pPr>
      <w:r w:rsidRPr="00AB6113">
        <w:rPr>
          <w:rFonts w:ascii="Times New Roman" w:hAnsi="Times New Roman" w:cs="Times New Roman"/>
        </w:rPr>
        <w:t xml:space="preserve">4.  </w:t>
      </w:r>
      <w:proofErr w:type="spellStart"/>
      <w:r w:rsidR="00ED0292" w:rsidRPr="00AB6113">
        <w:rPr>
          <w:rFonts w:ascii="Times New Roman" w:hAnsi="Times New Roman" w:cs="Times New Roman"/>
          <w:i/>
        </w:rPr>
        <w:t>Loya</w:t>
      </w:r>
      <w:proofErr w:type="spellEnd"/>
      <w:r w:rsidR="00ED0292" w:rsidRPr="00AB6113">
        <w:rPr>
          <w:rFonts w:ascii="Times New Roman" w:hAnsi="Times New Roman" w:cs="Times New Roman"/>
          <w:i/>
        </w:rPr>
        <w:t xml:space="preserve"> </w:t>
      </w:r>
      <w:proofErr w:type="spellStart"/>
      <w:r w:rsidR="00ED0292" w:rsidRPr="00AB6113">
        <w:rPr>
          <w:rFonts w:ascii="Times New Roman" w:hAnsi="Times New Roman" w:cs="Times New Roman"/>
          <w:i/>
        </w:rPr>
        <w:t>Jirgas</w:t>
      </w:r>
      <w:proofErr w:type="spellEnd"/>
      <w:r w:rsidR="00ED0292" w:rsidRPr="00AB6113">
        <w:rPr>
          <w:rFonts w:ascii="Times New Roman" w:hAnsi="Times New Roman" w:cs="Times New Roman"/>
        </w:rPr>
        <w:t xml:space="preserve"> in Afghanistan</w:t>
      </w:r>
    </w:p>
    <w:p w14:paraId="2B4F69C9" w14:textId="77777777" w:rsidR="007B2B06" w:rsidRPr="00507BCA" w:rsidRDefault="007B2B06" w:rsidP="006009D2">
      <w:pPr>
        <w:pStyle w:val="ListParagraph"/>
        <w:widowControl w:val="0"/>
        <w:autoSpaceDE w:val="0"/>
        <w:autoSpaceDN w:val="0"/>
        <w:adjustRightInd w:val="0"/>
        <w:ind w:left="1080"/>
        <w:rPr>
          <w:rFonts w:ascii="Times New Roman" w:hAnsi="Times New Roman" w:cs="Times New Roman"/>
          <w:i/>
        </w:rPr>
      </w:pPr>
    </w:p>
    <w:p w14:paraId="07B57D44" w14:textId="5CC83645" w:rsidR="003E5299" w:rsidRDefault="00B43B0D" w:rsidP="006009D2">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 xml:space="preserve">Other forms of </w:t>
      </w:r>
      <w:r w:rsidR="00ED0292">
        <w:rPr>
          <w:rFonts w:ascii="Times New Roman" w:hAnsi="Times New Roman" w:cs="Times New Roman"/>
        </w:rPr>
        <w:t>ADR</w:t>
      </w:r>
      <w:r>
        <w:rPr>
          <w:rFonts w:ascii="Times New Roman" w:hAnsi="Times New Roman" w:cs="Times New Roman"/>
        </w:rPr>
        <w:t xml:space="preserve"> are frequently ut</w:t>
      </w:r>
      <w:r w:rsidR="007F2ABD">
        <w:rPr>
          <w:rFonts w:ascii="Times New Roman" w:hAnsi="Times New Roman" w:cs="Times New Roman"/>
        </w:rPr>
        <w:t>ilized in post</w:t>
      </w:r>
      <w:r w:rsidR="00B73C77">
        <w:rPr>
          <w:rFonts w:ascii="Times New Roman" w:hAnsi="Times New Roman" w:cs="Times New Roman"/>
        </w:rPr>
        <w:t>-</w:t>
      </w:r>
      <w:r w:rsidR="007F2ABD">
        <w:rPr>
          <w:rFonts w:ascii="Times New Roman" w:hAnsi="Times New Roman" w:cs="Times New Roman"/>
        </w:rPr>
        <w:t xml:space="preserve">conflict states.  </w:t>
      </w:r>
      <w:r>
        <w:rPr>
          <w:rFonts w:ascii="Times New Roman" w:hAnsi="Times New Roman" w:cs="Times New Roman"/>
        </w:rPr>
        <w:t xml:space="preserve">For example, the </w:t>
      </w:r>
      <w:proofErr w:type="spellStart"/>
      <w:r w:rsidRPr="00CB2C54">
        <w:rPr>
          <w:rFonts w:ascii="Times New Roman" w:hAnsi="Times New Roman" w:cs="Times New Roman"/>
          <w:i/>
        </w:rPr>
        <w:t>Loya</w:t>
      </w:r>
      <w:proofErr w:type="spellEnd"/>
      <w:r w:rsidRPr="00CB2C54">
        <w:rPr>
          <w:rFonts w:ascii="Times New Roman" w:hAnsi="Times New Roman" w:cs="Times New Roman"/>
          <w:i/>
        </w:rPr>
        <w:t xml:space="preserve"> </w:t>
      </w:r>
      <w:proofErr w:type="spellStart"/>
      <w:r w:rsidR="00A636DD" w:rsidRPr="00CB2C54">
        <w:rPr>
          <w:rFonts w:ascii="Times New Roman" w:hAnsi="Times New Roman" w:cs="Times New Roman"/>
          <w:i/>
        </w:rPr>
        <w:t>Jirga</w:t>
      </w:r>
      <w:r w:rsidR="00A636DD">
        <w:rPr>
          <w:rFonts w:ascii="Times New Roman" w:hAnsi="Times New Roman" w:cs="Times New Roman"/>
          <w:i/>
        </w:rPr>
        <w:t>s</w:t>
      </w:r>
      <w:proofErr w:type="spellEnd"/>
      <w:r w:rsidR="00A636DD" w:rsidRPr="00A56CA1">
        <w:rPr>
          <w:rFonts w:ascii="Times New Roman" w:hAnsi="Times New Roman" w:cs="Times New Roman"/>
        </w:rPr>
        <w:t xml:space="preserve"> that</w:t>
      </w:r>
      <w:r>
        <w:rPr>
          <w:rFonts w:ascii="Times New Roman" w:hAnsi="Times New Roman" w:cs="Times New Roman"/>
        </w:rPr>
        <w:t xml:space="preserve"> took place in Kabul, Afghanistan</w:t>
      </w:r>
      <w:r w:rsidR="004D6A9D">
        <w:rPr>
          <w:rStyle w:val="FootnoteReference"/>
          <w:rFonts w:ascii="Times New Roman" w:hAnsi="Times New Roman" w:cs="Times New Roman"/>
        </w:rPr>
        <w:footnoteReference w:id="204"/>
      </w:r>
      <w:r>
        <w:rPr>
          <w:rFonts w:ascii="Times New Roman" w:hAnsi="Times New Roman" w:cs="Times New Roman"/>
        </w:rPr>
        <w:t xml:space="preserve"> in </w:t>
      </w:r>
      <w:r w:rsidR="00EB49CD">
        <w:rPr>
          <w:rFonts w:ascii="Times New Roman" w:hAnsi="Times New Roman" w:cs="Times New Roman"/>
        </w:rPr>
        <w:t>2002</w:t>
      </w:r>
      <w:r w:rsidR="00A636DD">
        <w:rPr>
          <w:rFonts w:ascii="Times New Roman" w:hAnsi="Times New Roman" w:cs="Times New Roman"/>
        </w:rPr>
        <w:t xml:space="preserve"> and 2010 were negotiation</w:t>
      </w:r>
      <w:r w:rsidR="0039713E">
        <w:rPr>
          <w:rFonts w:ascii="Times New Roman" w:hAnsi="Times New Roman" w:cs="Times New Roman"/>
        </w:rPr>
        <w:t xml:space="preserve"> process</w:t>
      </w:r>
      <w:r w:rsidR="00A636DD">
        <w:rPr>
          <w:rFonts w:ascii="Times New Roman" w:hAnsi="Times New Roman" w:cs="Times New Roman"/>
        </w:rPr>
        <w:t>es</w:t>
      </w:r>
      <w:r w:rsidR="0039713E">
        <w:rPr>
          <w:rFonts w:ascii="Times New Roman" w:hAnsi="Times New Roman" w:cs="Times New Roman"/>
        </w:rPr>
        <w:t xml:space="preserve"> </w:t>
      </w:r>
      <w:r>
        <w:rPr>
          <w:rFonts w:ascii="Times New Roman" w:hAnsi="Times New Roman" w:cs="Times New Roman"/>
        </w:rPr>
        <w:lastRenderedPageBreak/>
        <w:t>intended to bring about reconciliation</w:t>
      </w:r>
      <w:r w:rsidR="00A636DD">
        <w:rPr>
          <w:rFonts w:ascii="Times New Roman" w:hAnsi="Times New Roman" w:cs="Times New Roman"/>
        </w:rPr>
        <w:t>.</w:t>
      </w:r>
      <w:r w:rsidR="007F2ABD">
        <w:rPr>
          <w:rFonts w:ascii="Times New Roman" w:hAnsi="Times New Roman" w:cs="Times New Roman"/>
        </w:rPr>
        <w:t xml:space="preserve">  </w:t>
      </w:r>
      <w:proofErr w:type="spellStart"/>
      <w:r w:rsidR="00F770B9">
        <w:rPr>
          <w:rFonts w:ascii="Times New Roman" w:hAnsi="Times New Roman" w:cs="Times New Roman"/>
          <w:i/>
        </w:rPr>
        <w:t>Loya</w:t>
      </w:r>
      <w:proofErr w:type="spellEnd"/>
      <w:r w:rsidR="00F770B9">
        <w:rPr>
          <w:rFonts w:ascii="Times New Roman" w:hAnsi="Times New Roman" w:cs="Times New Roman"/>
          <w:i/>
        </w:rPr>
        <w:t xml:space="preserve"> </w:t>
      </w:r>
      <w:r w:rsidR="00F770B9" w:rsidRPr="00F770B9">
        <w:rPr>
          <w:rFonts w:ascii="Times New Roman" w:hAnsi="Times New Roman" w:cs="Times New Roman"/>
          <w:i/>
        </w:rPr>
        <w:t>Jirga</w:t>
      </w:r>
      <w:r w:rsidR="00F770B9">
        <w:rPr>
          <w:rFonts w:ascii="Times New Roman" w:hAnsi="Times New Roman" w:cs="Times New Roman"/>
        </w:rPr>
        <w:t xml:space="preserve"> is Pashto for Grand Council</w:t>
      </w:r>
      <w:r w:rsidR="00EB49CD">
        <w:rPr>
          <w:rFonts w:ascii="Times New Roman" w:hAnsi="Times New Roman" w:cs="Times New Roman"/>
        </w:rPr>
        <w:t>,</w:t>
      </w:r>
      <w:r w:rsidR="00C012D9">
        <w:rPr>
          <w:rStyle w:val="FootnoteReference"/>
          <w:rFonts w:ascii="Times New Roman" w:hAnsi="Times New Roman" w:cs="Times New Roman"/>
        </w:rPr>
        <w:footnoteReference w:id="205"/>
      </w:r>
      <w:r w:rsidR="00EB49CD">
        <w:rPr>
          <w:rFonts w:ascii="Times New Roman" w:hAnsi="Times New Roman" w:cs="Times New Roman"/>
        </w:rPr>
        <w:t xml:space="preserve"> and these counci</w:t>
      </w:r>
      <w:r w:rsidR="009F3415">
        <w:rPr>
          <w:rFonts w:ascii="Times New Roman" w:hAnsi="Times New Roman" w:cs="Times New Roman"/>
        </w:rPr>
        <w:t>ls have long served as decision-</w:t>
      </w:r>
      <w:r w:rsidR="00EB49CD">
        <w:rPr>
          <w:rFonts w:ascii="Times New Roman" w:hAnsi="Times New Roman" w:cs="Times New Roman"/>
        </w:rPr>
        <w:t>making bodies in Pashtun culture.</w:t>
      </w:r>
      <w:r w:rsidR="00EB49CD">
        <w:rPr>
          <w:rStyle w:val="FootnoteReference"/>
          <w:rFonts w:ascii="Times New Roman" w:hAnsi="Times New Roman" w:cs="Times New Roman"/>
        </w:rPr>
        <w:footnoteReference w:id="206"/>
      </w:r>
      <w:r w:rsidR="007F2ABD">
        <w:rPr>
          <w:rFonts w:ascii="Times New Roman" w:hAnsi="Times New Roman" w:cs="Times New Roman"/>
        </w:rPr>
        <w:t xml:space="preserve">  </w:t>
      </w:r>
      <w:r w:rsidR="00A56253" w:rsidRPr="00CB4E81">
        <w:rPr>
          <w:rFonts w:ascii="Times New Roman" w:hAnsi="Times New Roman" w:cs="Times New Roman"/>
          <w:color w:val="000000" w:themeColor="text1"/>
        </w:rPr>
        <w:t>Following th</w:t>
      </w:r>
      <w:r w:rsidR="003E5299" w:rsidRPr="00CB4E81">
        <w:rPr>
          <w:rFonts w:ascii="Times New Roman" w:hAnsi="Times New Roman" w:cs="Times New Roman"/>
          <w:color w:val="000000" w:themeColor="text1"/>
        </w:rPr>
        <w:t xml:space="preserve">e </w:t>
      </w:r>
      <w:r w:rsidR="001A2AC5" w:rsidRPr="00CB4E81">
        <w:rPr>
          <w:rFonts w:ascii="Times New Roman" w:hAnsi="Times New Roman" w:cs="Times New Roman"/>
          <w:color w:val="000000" w:themeColor="text1"/>
        </w:rPr>
        <w:t>collapse of the Soviet backed government</w:t>
      </w:r>
      <w:r w:rsidR="003E5299" w:rsidRPr="00CB4E81">
        <w:rPr>
          <w:rFonts w:ascii="Times New Roman" w:hAnsi="Times New Roman" w:cs="Times New Roman"/>
          <w:color w:val="000000" w:themeColor="text1"/>
        </w:rPr>
        <w:t xml:space="preserve">, an extremist group of </w:t>
      </w:r>
      <w:r w:rsidR="008E5A53">
        <w:rPr>
          <w:rFonts w:ascii="Times New Roman" w:hAnsi="Times New Roman" w:cs="Times New Roman"/>
          <w:i/>
          <w:color w:val="000000" w:themeColor="text1"/>
        </w:rPr>
        <w:t>mujahe</w:t>
      </w:r>
      <w:r w:rsidR="00EB1EBC" w:rsidRPr="00EB1EBC">
        <w:rPr>
          <w:rFonts w:ascii="Times New Roman" w:hAnsi="Times New Roman" w:cs="Times New Roman"/>
          <w:i/>
          <w:color w:val="000000" w:themeColor="text1"/>
        </w:rPr>
        <w:t>deen</w:t>
      </w:r>
      <w:r w:rsidR="00EB1EBC">
        <w:rPr>
          <w:rFonts w:ascii="Times New Roman" w:hAnsi="Times New Roman" w:cs="Times New Roman"/>
          <w:color w:val="000000" w:themeColor="text1"/>
        </w:rPr>
        <w:t xml:space="preserve"> </w:t>
      </w:r>
      <w:r w:rsidR="00A32E31">
        <w:rPr>
          <w:rFonts w:ascii="Times New Roman" w:hAnsi="Times New Roman" w:cs="Times New Roman"/>
          <w:color w:val="000000" w:themeColor="text1"/>
        </w:rPr>
        <w:t>called the Taliban</w:t>
      </w:r>
      <w:r w:rsidR="003E5299" w:rsidRPr="00CB4E81">
        <w:rPr>
          <w:rFonts w:ascii="Times New Roman" w:hAnsi="Times New Roman" w:cs="Times New Roman"/>
          <w:color w:val="000000" w:themeColor="text1"/>
        </w:rPr>
        <w:t xml:space="preserve"> rose to power</w:t>
      </w:r>
      <w:r w:rsidR="00CB4E81" w:rsidRPr="00CB4E81">
        <w:rPr>
          <w:rFonts w:ascii="Times New Roman" w:hAnsi="Times New Roman" w:cs="Times New Roman"/>
          <w:color w:val="000000" w:themeColor="text1"/>
        </w:rPr>
        <w:t xml:space="preserve">, taking advantage of the </w:t>
      </w:r>
      <w:r w:rsidR="00CB4E81" w:rsidRPr="00CB4E81">
        <w:rPr>
          <w:rFonts w:ascii="Times New Roman" w:hAnsi="Times New Roman" w:cs="Times New Roman"/>
          <w:i/>
          <w:color w:val="000000" w:themeColor="text1"/>
        </w:rPr>
        <w:t>mujahedeen</w:t>
      </w:r>
      <w:r w:rsidR="00CB4E81" w:rsidRPr="00CB4E81">
        <w:rPr>
          <w:rFonts w:ascii="Times New Roman" w:hAnsi="Times New Roman" w:cs="Times New Roman"/>
          <w:color w:val="000000" w:themeColor="text1"/>
        </w:rPr>
        <w:t>’s inability to reconcile with one another</w:t>
      </w:r>
      <w:r w:rsidR="00FC4DC6">
        <w:rPr>
          <w:rFonts w:ascii="Times New Roman" w:hAnsi="Times New Roman" w:cs="Times New Roman"/>
          <w:color w:val="000000" w:themeColor="text1"/>
        </w:rPr>
        <w:t>.</w:t>
      </w:r>
      <w:r w:rsidR="003E5299" w:rsidRPr="00CB4E81">
        <w:rPr>
          <w:rStyle w:val="FootnoteReference"/>
          <w:rFonts w:ascii="Times New Roman" w:hAnsi="Times New Roman" w:cs="Times New Roman"/>
          <w:color w:val="000000" w:themeColor="text1"/>
        </w:rPr>
        <w:footnoteReference w:id="207"/>
      </w:r>
      <w:r w:rsidR="007F2ABD">
        <w:rPr>
          <w:rFonts w:ascii="Times New Roman" w:hAnsi="Times New Roman" w:cs="Times New Roman"/>
          <w:color w:val="000000" w:themeColor="text1"/>
        </w:rPr>
        <w:t xml:space="preserve">  </w:t>
      </w:r>
      <w:r w:rsidR="003E5299">
        <w:rPr>
          <w:rFonts w:ascii="Times New Roman" w:hAnsi="Times New Roman" w:cs="Times New Roman"/>
        </w:rPr>
        <w:t>This group committed many atrocity crimes against the Afghan people</w:t>
      </w:r>
      <w:r w:rsidR="00F942A6">
        <w:rPr>
          <w:rFonts w:ascii="Times New Roman" w:hAnsi="Times New Roman" w:cs="Times New Roman"/>
        </w:rPr>
        <w:t xml:space="preserve">, including denying women education </w:t>
      </w:r>
      <w:r w:rsidR="00587E77">
        <w:rPr>
          <w:rFonts w:ascii="Times New Roman" w:hAnsi="Times New Roman" w:cs="Times New Roman"/>
        </w:rPr>
        <w:t>and healthcare. T</w:t>
      </w:r>
      <w:r w:rsidR="003E5299">
        <w:rPr>
          <w:rFonts w:ascii="Times New Roman" w:hAnsi="Times New Roman" w:cs="Times New Roman"/>
        </w:rPr>
        <w:t>he United States government did not intervene.</w:t>
      </w:r>
      <w:r w:rsidR="003E5299">
        <w:rPr>
          <w:rStyle w:val="FootnoteReference"/>
          <w:rFonts w:ascii="Times New Roman" w:hAnsi="Times New Roman" w:cs="Times New Roman"/>
        </w:rPr>
        <w:footnoteReference w:id="208"/>
      </w:r>
      <w:r w:rsidR="003E5299">
        <w:rPr>
          <w:rFonts w:ascii="Times New Roman" w:hAnsi="Times New Roman" w:cs="Times New Roman"/>
        </w:rPr>
        <w:t xml:space="preserve"> </w:t>
      </w:r>
    </w:p>
    <w:p w14:paraId="09BDF449" w14:textId="695A6543" w:rsidR="00EA39DB" w:rsidRDefault="00BE5A1A" w:rsidP="0032522A">
      <w:pPr>
        <w:widowControl w:val="0"/>
        <w:autoSpaceDE w:val="0"/>
        <w:autoSpaceDN w:val="0"/>
        <w:adjustRightInd w:val="0"/>
        <w:ind w:firstLine="720"/>
        <w:jc w:val="both"/>
        <w:rPr>
          <w:rFonts w:ascii="Times New Roman" w:hAnsi="Times New Roman" w:cs="Times New Roman"/>
          <w:color w:val="000000" w:themeColor="text1"/>
        </w:rPr>
      </w:pPr>
      <w:r>
        <w:rPr>
          <w:rFonts w:ascii="Times New Roman" w:hAnsi="Times New Roman" w:cs="Times New Roman"/>
        </w:rPr>
        <w:t>F</w:t>
      </w:r>
      <w:r w:rsidR="003E5299">
        <w:rPr>
          <w:rFonts w:ascii="Times New Roman" w:hAnsi="Times New Roman" w:cs="Times New Roman"/>
        </w:rPr>
        <w:t>ollowing September 11</w:t>
      </w:r>
      <w:r w:rsidR="003E5299" w:rsidRPr="003E5299">
        <w:rPr>
          <w:rFonts w:ascii="Times New Roman" w:hAnsi="Times New Roman" w:cs="Times New Roman"/>
          <w:vertAlign w:val="superscript"/>
        </w:rPr>
        <w:t>th</w:t>
      </w:r>
      <w:r w:rsidR="003E5299">
        <w:rPr>
          <w:rFonts w:ascii="Times New Roman" w:hAnsi="Times New Roman" w:cs="Times New Roman"/>
        </w:rPr>
        <w:t xml:space="preserve">, 2001, </w:t>
      </w:r>
      <w:r>
        <w:rPr>
          <w:rFonts w:ascii="Times New Roman" w:hAnsi="Times New Roman" w:cs="Times New Roman"/>
        </w:rPr>
        <w:t xml:space="preserve">however, </w:t>
      </w:r>
      <w:r w:rsidR="003E5299">
        <w:rPr>
          <w:rFonts w:ascii="Times New Roman" w:hAnsi="Times New Roman" w:cs="Times New Roman"/>
        </w:rPr>
        <w:t>when Taliban officials provided refuge to Osama Bin Laden and other Al Qaeda leaders, the United States decided to intervene and remove the Taliban from power.</w:t>
      </w:r>
      <w:r w:rsidR="003E5299">
        <w:rPr>
          <w:rStyle w:val="FootnoteReference"/>
          <w:rFonts w:ascii="Times New Roman" w:hAnsi="Times New Roman" w:cs="Times New Roman"/>
        </w:rPr>
        <w:footnoteReference w:id="209"/>
      </w:r>
      <w:r w:rsidR="003E5299">
        <w:rPr>
          <w:rFonts w:ascii="Times New Roman" w:hAnsi="Times New Roman" w:cs="Times New Roman"/>
        </w:rPr>
        <w:t xml:space="preserve">  </w:t>
      </w:r>
      <w:r w:rsidR="00A636DD" w:rsidRPr="00F770B9">
        <w:rPr>
          <w:rFonts w:ascii="Times New Roman" w:hAnsi="Times New Roman" w:cs="Times New Roman"/>
        </w:rPr>
        <w:t>The</w:t>
      </w:r>
      <w:r w:rsidR="00A636DD">
        <w:rPr>
          <w:rFonts w:ascii="Times New Roman" w:hAnsi="Times New Roman" w:cs="Times New Roman"/>
        </w:rPr>
        <w:t xml:space="preserve"> </w:t>
      </w:r>
      <w:proofErr w:type="spellStart"/>
      <w:r w:rsidR="00A636DD">
        <w:rPr>
          <w:rFonts w:ascii="Times New Roman" w:hAnsi="Times New Roman" w:cs="Times New Roman"/>
          <w:i/>
        </w:rPr>
        <w:t>Loya</w:t>
      </w:r>
      <w:proofErr w:type="spellEnd"/>
      <w:r w:rsidR="00A636DD">
        <w:rPr>
          <w:rFonts w:ascii="Times New Roman" w:hAnsi="Times New Roman" w:cs="Times New Roman"/>
          <w:i/>
        </w:rPr>
        <w:t xml:space="preserve"> Jirga</w:t>
      </w:r>
      <w:r w:rsidR="00A636DD">
        <w:rPr>
          <w:rFonts w:ascii="Times New Roman" w:hAnsi="Times New Roman" w:cs="Times New Roman"/>
        </w:rPr>
        <w:t xml:space="preserve"> in 2001 was for emergency purposes, and was intended to legitimize the new Afghan government.</w:t>
      </w:r>
      <w:r w:rsidR="00A636DD">
        <w:rPr>
          <w:rStyle w:val="FootnoteReference"/>
          <w:rFonts w:ascii="Times New Roman" w:hAnsi="Times New Roman" w:cs="Times New Roman"/>
        </w:rPr>
        <w:footnoteReference w:id="210"/>
      </w:r>
      <w:r w:rsidR="000727A0">
        <w:rPr>
          <w:rFonts w:ascii="Times New Roman" w:hAnsi="Times New Roman" w:cs="Times New Roman"/>
        </w:rPr>
        <w:t xml:space="preserve">  </w:t>
      </w:r>
      <w:r w:rsidR="00A94E1B">
        <w:rPr>
          <w:rFonts w:ascii="Times New Roman" w:hAnsi="Times New Roman" w:cs="Times New Roman"/>
        </w:rPr>
        <w:t xml:space="preserve">In this process, the attendees of the </w:t>
      </w:r>
      <w:proofErr w:type="spellStart"/>
      <w:r w:rsidR="00A94E1B">
        <w:rPr>
          <w:rFonts w:ascii="Times New Roman" w:hAnsi="Times New Roman" w:cs="Times New Roman"/>
          <w:i/>
        </w:rPr>
        <w:t>Loya</w:t>
      </w:r>
      <w:proofErr w:type="spellEnd"/>
      <w:r w:rsidR="00A94E1B">
        <w:rPr>
          <w:rFonts w:ascii="Times New Roman" w:hAnsi="Times New Roman" w:cs="Times New Roman"/>
          <w:i/>
        </w:rPr>
        <w:t xml:space="preserve"> Jirga</w:t>
      </w:r>
      <w:r w:rsidR="00A94E1B">
        <w:rPr>
          <w:rFonts w:ascii="Times New Roman" w:hAnsi="Times New Roman" w:cs="Times New Roman"/>
        </w:rPr>
        <w:t xml:space="preserve"> selected Hamid Karzai as President of Afghanistan.</w:t>
      </w:r>
      <w:r w:rsidR="00A94E1B">
        <w:rPr>
          <w:rStyle w:val="FootnoteReference"/>
          <w:rFonts w:ascii="Times New Roman" w:hAnsi="Times New Roman" w:cs="Times New Roman"/>
        </w:rPr>
        <w:footnoteReference w:id="211"/>
      </w:r>
      <w:r w:rsidR="000727A0">
        <w:rPr>
          <w:rFonts w:ascii="Times New Roman" w:hAnsi="Times New Roman" w:cs="Times New Roman"/>
        </w:rPr>
        <w:t xml:space="preserve">  </w:t>
      </w:r>
      <w:r w:rsidR="009433C5">
        <w:rPr>
          <w:rFonts w:ascii="Times New Roman" w:hAnsi="Times New Roman" w:cs="Times New Roman"/>
        </w:rPr>
        <w:t>The 2011</w:t>
      </w:r>
      <w:r w:rsidR="00A636DD">
        <w:rPr>
          <w:rFonts w:ascii="Times New Roman" w:hAnsi="Times New Roman" w:cs="Times New Roman"/>
        </w:rPr>
        <w:t xml:space="preserve"> </w:t>
      </w:r>
      <w:proofErr w:type="spellStart"/>
      <w:r w:rsidR="00A636DD">
        <w:rPr>
          <w:rFonts w:ascii="Times New Roman" w:hAnsi="Times New Roman" w:cs="Times New Roman"/>
          <w:i/>
        </w:rPr>
        <w:t>Loya</w:t>
      </w:r>
      <w:proofErr w:type="spellEnd"/>
      <w:r w:rsidR="00A636DD">
        <w:rPr>
          <w:rFonts w:ascii="Times New Roman" w:hAnsi="Times New Roman" w:cs="Times New Roman"/>
          <w:i/>
        </w:rPr>
        <w:t xml:space="preserve"> Jirga</w:t>
      </w:r>
      <w:r w:rsidR="0039713E">
        <w:rPr>
          <w:rFonts w:ascii="Times New Roman" w:hAnsi="Times New Roman" w:cs="Times New Roman"/>
        </w:rPr>
        <w:t xml:space="preserve"> involved representatives of the Afghan government, including President Hamid Karzai, and representatives of Afghan Taliban.</w:t>
      </w:r>
      <w:r w:rsidR="00002D7F">
        <w:rPr>
          <w:rStyle w:val="FootnoteReference"/>
          <w:rFonts w:ascii="Times New Roman" w:hAnsi="Times New Roman" w:cs="Times New Roman"/>
        </w:rPr>
        <w:footnoteReference w:id="212"/>
      </w:r>
      <w:r w:rsidR="00AC5B4B">
        <w:rPr>
          <w:rFonts w:ascii="Times New Roman" w:hAnsi="Times New Roman" w:cs="Times New Roman"/>
        </w:rPr>
        <w:t xml:space="preserve">  </w:t>
      </w:r>
      <w:r w:rsidR="00645025">
        <w:rPr>
          <w:rFonts w:ascii="Times New Roman" w:hAnsi="Times New Roman" w:cs="Times New Roman"/>
        </w:rPr>
        <w:t xml:space="preserve">The traditional role of the </w:t>
      </w:r>
      <w:proofErr w:type="spellStart"/>
      <w:r w:rsidR="00645025">
        <w:rPr>
          <w:rFonts w:ascii="Times New Roman" w:hAnsi="Times New Roman" w:cs="Times New Roman"/>
          <w:i/>
          <w:iCs/>
        </w:rPr>
        <w:t>Loya</w:t>
      </w:r>
      <w:proofErr w:type="spellEnd"/>
      <w:r w:rsidR="00645025">
        <w:rPr>
          <w:rFonts w:ascii="Times New Roman" w:hAnsi="Times New Roman" w:cs="Times New Roman"/>
          <w:i/>
          <w:iCs/>
        </w:rPr>
        <w:t xml:space="preserve"> Jirga </w:t>
      </w:r>
      <w:r w:rsidR="00645025">
        <w:rPr>
          <w:rFonts w:ascii="Times New Roman" w:hAnsi="Times New Roman" w:cs="Times New Roman"/>
        </w:rPr>
        <w:t xml:space="preserve"> was to </w:t>
      </w:r>
      <w:r w:rsidR="004169F5">
        <w:rPr>
          <w:rFonts w:ascii="Times New Roman" w:hAnsi="Times New Roman" w:cs="Times New Roman"/>
          <w:color w:val="000000" w:themeColor="text1"/>
        </w:rPr>
        <w:t xml:space="preserve">act as a legislative body, </w:t>
      </w:r>
      <w:r w:rsidR="00A33E35">
        <w:rPr>
          <w:rFonts w:ascii="Times New Roman" w:hAnsi="Times New Roman" w:cs="Times New Roman"/>
          <w:color w:val="000000" w:themeColor="text1"/>
        </w:rPr>
        <w:t>performing</w:t>
      </w:r>
      <w:r>
        <w:rPr>
          <w:rFonts w:ascii="Times New Roman" w:hAnsi="Times New Roman" w:cs="Times New Roman"/>
          <w:color w:val="000000" w:themeColor="text1"/>
        </w:rPr>
        <w:t xml:space="preserve"> tasks such as ratifying the C</w:t>
      </w:r>
      <w:r w:rsidR="001674FB">
        <w:rPr>
          <w:rFonts w:ascii="Times New Roman" w:hAnsi="Times New Roman" w:cs="Times New Roman"/>
          <w:color w:val="000000" w:themeColor="text1"/>
        </w:rPr>
        <w:t>onstitution</w:t>
      </w:r>
      <w:r>
        <w:rPr>
          <w:rFonts w:ascii="Times New Roman" w:hAnsi="Times New Roman" w:cs="Times New Roman"/>
          <w:color w:val="000000" w:themeColor="text1"/>
        </w:rPr>
        <w:t>, or appointing an interim P</w:t>
      </w:r>
      <w:r w:rsidR="00110B34">
        <w:rPr>
          <w:rFonts w:ascii="Times New Roman" w:hAnsi="Times New Roman" w:cs="Times New Roman"/>
          <w:color w:val="000000" w:themeColor="text1"/>
        </w:rPr>
        <w:t>resident.</w:t>
      </w:r>
      <w:r w:rsidR="000727A0">
        <w:rPr>
          <w:rStyle w:val="FootnoteReference"/>
          <w:rFonts w:ascii="Times New Roman" w:hAnsi="Times New Roman" w:cs="Times New Roman"/>
          <w:color w:val="000000" w:themeColor="text1"/>
        </w:rPr>
        <w:footnoteReference w:id="213"/>
      </w:r>
      <w:r w:rsidR="000727A0">
        <w:rPr>
          <w:rFonts w:ascii="Times New Roman" w:hAnsi="Times New Roman" w:cs="Times New Roman"/>
          <w:color w:val="000000" w:themeColor="text1"/>
        </w:rPr>
        <w:t xml:space="preserve">  </w:t>
      </w:r>
      <w:r w:rsidR="009433C5">
        <w:rPr>
          <w:rFonts w:ascii="Times New Roman" w:hAnsi="Times New Roman" w:cs="Times New Roman"/>
          <w:color w:val="000000" w:themeColor="text1"/>
        </w:rPr>
        <w:lastRenderedPageBreak/>
        <w:t>However, the 2011</w:t>
      </w:r>
      <w:r w:rsidR="00110B34">
        <w:rPr>
          <w:rFonts w:ascii="Times New Roman" w:hAnsi="Times New Roman" w:cs="Times New Roman"/>
          <w:color w:val="000000" w:themeColor="text1"/>
        </w:rPr>
        <w:t xml:space="preserve"> </w:t>
      </w:r>
      <w:r w:rsidR="00110B34">
        <w:rPr>
          <w:rFonts w:ascii="Times New Roman" w:hAnsi="Times New Roman" w:cs="Times New Roman"/>
          <w:i/>
          <w:iCs/>
          <w:color w:val="000000" w:themeColor="text1"/>
        </w:rPr>
        <w:t>Jirga</w:t>
      </w:r>
      <w:r w:rsidR="00110B34">
        <w:rPr>
          <w:rFonts w:ascii="Times New Roman" w:hAnsi="Times New Roman" w:cs="Times New Roman"/>
          <w:color w:val="000000" w:themeColor="text1"/>
        </w:rPr>
        <w:t xml:space="preserve"> </w:t>
      </w:r>
      <w:r w:rsidR="000727A0">
        <w:rPr>
          <w:rFonts w:ascii="Times New Roman" w:hAnsi="Times New Roman" w:cs="Times New Roman"/>
          <w:color w:val="000000" w:themeColor="text1"/>
        </w:rPr>
        <w:t>served a different</w:t>
      </w:r>
      <w:r w:rsidR="00507BCA">
        <w:rPr>
          <w:rFonts w:ascii="Times New Roman" w:hAnsi="Times New Roman" w:cs="Times New Roman"/>
          <w:color w:val="000000" w:themeColor="text1"/>
        </w:rPr>
        <w:t xml:space="preserve"> purpose—</w:t>
      </w:r>
      <w:r w:rsidR="00776DD0">
        <w:rPr>
          <w:rFonts w:ascii="Times New Roman" w:hAnsi="Times New Roman" w:cs="Times New Roman"/>
          <w:color w:val="000000" w:themeColor="text1"/>
        </w:rPr>
        <w:t>making peace between the Afghan government and the Taliban.</w:t>
      </w:r>
      <w:r w:rsidR="00815140">
        <w:rPr>
          <w:rStyle w:val="FootnoteReference"/>
          <w:rFonts w:ascii="Times New Roman" w:hAnsi="Times New Roman" w:cs="Times New Roman"/>
          <w:color w:val="000000" w:themeColor="text1"/>
        </w:rPr>
        <w:footnoteReference w:id="214"/>
      </w:r>
      <w:r w:rsidR="009433C5">
        <w:rPr>
          <w:rFonts w:ascii="Times New Roman" w:hAnsi="Times New Roman" w:cs="Times New Roman"/>
          <w:color w:val="000000" w:themeColor="text1"/>
        </w:rPr>
        <w:t xml:space="preserve">  The 2011 </w:t>
      </w:r>
      <w:proofErr w:type="spellStart"/>
      <w:r w:rsidR="009433C5">
        <w:rPr>
          <w:rFonts w:ascii="Times New Roman" w:hAnsi="Times New Roman" w:cs="Times New Roman"/>
          <w:i/>
          <w:iCs/>
          <w:color w:val="000000" w:themeColor="text1"/>
        </w:rPr>
        <w:t>Loya</w:t>
      </w:r>
      <w:proofErr w:type="spellEnd"/>
      <w:r w:rsidR="009433C5">
        <w:rPr>
          <w:rFonts w:ascii="Times New Roman" w:hAnsi="Times New Roman" w:cs="Times New Roman"/>
          <w:i/>
          <w:iCs/>
          <w:color w:val="000000" w:themeColor="text1"/>
        </w:rPr>
        <w:t xml:space="preserve"> Jirga</w:t>
      </w:r>
      <w:r w:rsidR="009433C5">
        <w:rPr>
          <w:rFonts w:ascii="Times New Roman" w:hAnsi="Times New Roman" w:cs="Times New Roman"/>
          <w:color w:val="000000" w:themeColor="text1"/>
        </w:rPr>
        <w:t xml:space="preserve"> was successful in that it integrated traditional methods into the transitional justice system in Afghanistan. However, it was less effective with regards to achieving its original goal of merging the former government (the Taliban) with the new government.</w:t>
      </w:r>
      <w:r w:rsidR="00A3281E">
        <w:rPr>
          <w:rStyle w:val="FootnoteReference"/>
          <w:rFonts w:ascii="Times New Roman" w:hAnsi="Times New Roman" w:cs="Times New Roman"/>
          <w:color w:val="000000" w:themeColor="text1"/>
        </w:rPr>
        <w:footnoteReference w:id="215"/>
      </w:r>
      <w:r w:rsidR="00D93430">
        <w:rPr>
          <w:rFonts w:ascii="Times New Roman" w:hAnsi="Times New Roman" w:cs="Times New Roman"/>
          <w:color w:val="000000" w:themeColor="text1"/>
        </w:rPr>
        <w:t xml:space="preserve">  Perhaps these negotiations failed because neither party was willing to compromise on their demands.</w:t>
      </w:r>
      <w:r w:rsidR="00AC14B2">
        <w:rPr>
          <w:rStyle w:val="FootnoteReference"/>
          <w:rFonts w:ascii="Times New Roman" w:hAnsi="Times New Roman" w:cs="Times New Roman"/>
          <w:color w:val="000000" w:themeColor="text1"/>
        </w:rPr>
        <w:footnoteReference w:id="216"/>
      </w:r>
      <w:r w:rsidR="00FC6279">
        <w:rPr>
          <w:rFonts w:ascii="Times New Roman" w:hAnsi="Times New Roman" w:cs="Times New Roman"/>
          <w:color w:val="000000" w:themeColor="text1"/>
        </w:rPr>
        <w:t xml:space="preserve">  This</w:t>
      </w:r>
      <w:r>
        <w:rPr>
          <w:rFonts w:ascii="Times New Roman" w:hAnsi="Times New Roman" w:cs="Times New Roman"/>
          <w:color w:val="000000" w:themeColor="text1"/>
        </w:rPr>
        <w:t xml:space="preserve"> failure</w:t>
      </w:r>
      <w:r w:rsidR="00FC6279">
        <w:rPr>
          <w:rFonts w:ascii="Times New Roman" w:hAnsi="Times New Roman" w:cs="Times New Roman"/>
          <w:color w:val="000000" w:themeColor="text1"/>
        </w:rPr>
        <w:t xml:space="preserve"> indicates </w:t>
      </w:r>
      <w:r>
        <w:rPr>
          <w:rFonts w:ascii="Times New Roman" w:hAnsi="Times New Roman" w:cs="Times New Roman"/>
          <w:color w:val="000000" w:themeColor="text1"/>
        </w:rPr>
        <w:t>the importance of integrating</w:t>
      </w:r>
      <w:r w:rsidR="00FC6279">
        <w:rPr>
          <w:rFonts w:ascii="Times New Roman" w:hAnsi="Times New Roman" w:cs="Times New Roman"/>
          <w:color w:val="000000" w:themeColor="text1"/>
        </w:rPr>
        <w:t xml:space="preserve"> local custom</w:t>
      </w:r>
      <w:r w:rsidR="00CA64EC">
        <w:rPr>
          <w:rFonts w:ascii="Times New Roman" w:hAnsi="Times New Roman" w:cs="Times New Roman"/>
          <w:color w:val="000000" w:themeColor="text1"/>
        </w:rPr>
        <w:t>s</w:t>
      </w:r>
      <w:r w:rsidR="00FC6279">
        <w:rPr>
          <w:rFonts w:ascii="Times New Roman" w:hAnsi="Times New Roman" w:cs="Times New Roman"/>
          <w:color w:val="000000" w:themeColor="text1"/>
        </w:rPr>
        <w:t xml:space="preserve"> into the transitional ADR mechanism</w:t>
      </w:r>
      <w:r w:rsidR="00CA64EC">
        <w:rPr>
          <w:rFonts w:ascii="Times New Roman" w:hAnsi="Times New Roman" w:cs="Times New Roman"/>
          <w:color w:val="000000" w:themeColor="text1"/>
        </w:rPr>
        <w:t xml:space="preserve"> so that the forum is one with which the parties feel familiar.  B</w:t>
      </w:r>
      <w:r w:rsidR="00FC6279">
        <w:rPr>
          <w:rFonts w:ascii="Times New Roman" w:hAnsi="Times New Roman" w:cs="Times New Roman"/>
          <w:color w:val="000000" w:themeColor="text1"/>
        </w:rPr>
        <w:t>ut it is also important that the i</w:t>
      </w:r>
      <w:r w:rsidR="007F4732">
        <w:rPr>
          <w:rFonts w:ascii="Times New Roman" w:hAnsi="Times New Roman" w:cs="Times New Roman"/>
          <w:color w:val="000000" w:themeColor="text1"/>
        </w:rPr>
        <w:t>nvolved parties understand what they can expect</w:t>
      </w:r>
      <w:r w:rsidR="00CA64EC">
        <w:rPr>
          <w:rFonts w:ascii="Times New Roman" w:hAnsi="Times New Roman" w:cs="Times New Roman"/>
          <w:color w:val="000000" w:themeColor="text1"/>
        </w:rPr>
        <w:t xml:space="preserve"> to get out of the adjudication, otherwise the process could go on endlessly. </w:t>
      </w:r>
      <w:r w:rsidR="007F4732">
        <w:rPr>
          <w:rFonts w:ascii="Times New Roman" w:hAnsi="Times New Roman" w:cs="Times New Roman"/>
          <w:color w:val="000000" w:themeColor="text1"/>
        </w:rPr>
        <w:t xml:space="preserve"> </w:t>
      </w:r>
    </w:p>
    <w:p w14:paraId="209A0DE7" w14:textId="77777777" w:rsidR="007B2B06" w:rsidRPr="009433C5" w:rsidRDefault="007B2B06" w:rsidP="006009D2">
      <w:pPr>
        <w:widowControl w:val="0"/>
        <w:autoSpaceDE w:val="0"/>
        <w:autoSpaceDN w:val="0"/>
        <w:adjustRightInd w:val="0"/>
        <w:ind w:firstLine="720"/>
        <w:jc w:val="both"/>
        <w:rPr>
          <w:rFonts w:ascii="Times New Roman" w:hAnsi="Times New Roman" w:cs="Times New Roman"/>
          <w:color w:val="000000" w:themeColor="text1"/>
        </w:rPr>
      </w:pPr>
    </w:p>
    <w:p w14:paraId="57514718" w14:textId="32D88153" w:rsidR="00EA39DB" w:rsidRPr="00AB6113" w:rsidRDefault="005C7C2C" w:rsidP="00AB6113">
      <w:pPr>
        <w:widowControl w:val="0"/>
        <w:autoSpaceDE w:val="0"/>
        <w:autoSpaceDN w:val="0"/>
        <w:adjustRightInd w:val="0"/>
        <w:jc w:val="center"/>
        <w:rPr>
          <w:rFonts w:ascii="Times New Roman" w:hAnsi="Times New Roman" w:cs="Times New Roman"/>
        </w:rPr>
      </w:pPr>
      <w:r w:rsidRPr="00AB6113">
        <w:rPr>
          <w:rFonts w:ascii="Times New Roman" w:hAnsi="Times New Roman" w:cs="Times New Roman"/>
        </w:rPr>
        <w:t xml:space="preserve">D.  </w:t>
      </w:r>
      <w:r w:rsidR="00825E55" w:rsidRPr="00AB6113">
        <w:rPr>
          <w:rFonts w:ascii="Times New Roman" w:hAnsi="Times New Roman" w:cs="Times New Roman"/>
          <w:i/>
        </w:rPr>
        <w:t xml:space="preserve">Application of Risk Factor 7 of the </w:t>
      </w:r>
      <w:r w:rsidR="00607BBD">
        <w:rPr>
          <w:rFonts w:ascii="Times New Roman" w:hAnsi="Times New Roman" w:cs="Times New Roman"/>
          <w:i/>
        </w:rPr>
        <w:t>U.N.</w:t>
      </w:r>
      <w:r w:rsidR="00825E55" w:rsidRPr="00AB6113">
        <w:rPr>
          <w:rFonts w:ascii="Times New Roman" w:hAnsi="Times New Roman" w:cs="Times New Roman"/>
          <w:i/>
        </w:rPr>
        <w:t xml:space="preserve"> Framework</w:t>
      </w:r>
      <w:r w:rsidR="002577BE" w:rsidRPr="00AB6113">
        <w:rPr>
          <w:rFonts w:ascii="Times New Roman" w:hAnsi="Times New Roman" w:cs="Times New Roman"/>
          <w:i/>
        </w:rPr>
        <w:t xml:space="preserve"> of Analysis</w:t>
      </w:r>
    </w:p>
    <w:p w14:paraId="51140E24" w14:textId="77777777" w:rsidR="007B2B06" w:rsidRPr="00507BCA" w:rsidRDefault="007B2B06" w:rsidP="006009D2">
      <w:pPr>
        <w:pStyle w:val="ListParagraph"/>
        <w:widowControl w:val="0"/>
        <w:autoSpaceDE w:val="0"/>
        <w:autoSpaceDN w:val="0"/>
        <w:adjustRightInd w:val="0"/>
        <w:ind w:left="1080"/>
        <w:rPr>
          <w:rFonts w:ascii="Times New Roman" w:hAnsi="Times New Roman" w:cs="Times New Roman"/>
        </w:rPr>
      </w:pPr>
    </w:p>
    <w:p w14:paraId="41525881" w14:textId="362AD32E" w:rsidR="007501A2" w:rsidRDefault="005C3A0C" w:rsidP="006009D2">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This S</w:t>
      </w:r>
      <w:r w:rsidR="009B541A">
        <w:rPr>
          <w:rFonts w:ascii="Times New Roman" w:hAnsi="Times New Roman" w:cs="Times New Roman"/>
        </w:rPr>
        <w:t>ection explores whether</w:t>
      </w:r>
      <w:r w:rsidR="00B01AA5">
        <w:rPr>
          <w:rFonts w:ascii="Times New Roman" w:hAnsi="Times New Roman" w:cs="Times New Roman"/>
        </w:rPr>
        <w:t xml:space="preserve"> or not it would have been possible to intervene</w:t>
      </w:r>
      <w:r w:rsidR="002E6459">
        <w:rPr>
          <w:rFonts w:ascii="Times New Roman" w:hAnsi="Times New Roman" w:cs="Times New Roman"/>
        </w:rPr>
        <w:t xml:space="preserve"> prior to the </w:t>
      </w:r>
      <w:r w:rsidR="00B01AA5">
        <w:rPr>
          <w:rFonts w:ascii="Times New Roman" w:hAnsi="Times New Roman" w:cs="Times New Roman"/>
        </w:rPr>
        <w:t>in</w:t>
      </w:r>
      <w:r w:rsidR="00DD5B89">
        <w:rPr>
          <w:rFonts w:ascii="Times New Roman" w:hAnsi="Times New Roman" w:cs="Times New Roman"/>
        </w:rPr>
        <w:t>stigation of violence in</w:t>
      </w:r>
      <w:r w:rsidR="00B01AA5">
        <w:rPr>
          <w:rFonts w:ascii="Times New Roman" w:hAnsi="Times New Roman" w:cs="Times New Roman"/>
        </w:rPr>
        <w:t xml:space="preserve"> any of the above circumstances pursuant to Risk Factor 7 of the </w:t>
      </w:r>
      <w:r w:rsidR="00607BBD">
        <w:rPr>
          <w:rFonts w:ascii="Times New Roman" w:hAnsi="Times New Roman" w:cs="Times New Roman"/>
        </w:rPr>
        <w:t>U.N.</w:t>
      </w:r>
      <w:r w:rsidR="00B01AA5">
        <w:rPr>
          <w:rFonts w:ascii="Times New Roman" w:hAnsi="Times New Roman" w:cs="Times New Roman"/>
        </w:rPr>
        <w:t xml:space="preserve"> Framework</w:t>
      </w:r>
      <w:r w:rsidR="002577BE">
        <w:rPr>
          <w:rFonts w:ascii="Times New Roman" w:hAnsi="Times New Roman" w:cs="Times New Roman"/>
        </w:rPr>
        <w:t xml:space="preserve"> of Analysis</w:t>
      </w:r>
      <w:r w:rsidR="00B01AA5">
        <w:rPr>
          <w:rFonts w:ascii="Times New Roman" w:hAnsi="Times New Roman" w:cs="Times New Roman"/>
        </w:rPr>
        <w:t>.</w:t>
      </w:r>
      <w:r w:rsidR="00D93430">
        <w:rPr>
          <w:rFonts w:ascii="Times New Roman" w:hAnsi="Times New Roman" w:cs="Times New Roman"/>
        </w:rPr>
        <w:t xml:space="preserve">  </w:t>
      </w:r>
      <w:r w:rsidR="00EA4244">
        <w:rPr>
          <w:rFonts w:ascii="Times New Roman" w:hAnsi="Times New Roman" w:cs="Times New Roman"/>
        </w:rPr>
        <w:t>In</w:t>
      </w:r>
      <w:r w:rsidR="00D36FB0">
        <w:rPr>
          <w:rFonts w:ascii="Times New Roman" w:hAnsi="Times New Roman" w:cs="Times New Roman"/>
        </w:rPr>
        <w:t xml:space="preserve"> retroactively apply</w:t>
      </w:r>
      <w:r w:rsidR="00EA4244">
        <w:rPr>
          <w:rFonts w:ascii="Times New Roman" w:hAnsi="Times New Roman" w:cs="Times New Roman"/>
        </w:rPr>
        <w:t>ing</w:t>
      </w:r>
      <w:r w:rsidR="00D36FB0">
        <w:rPr>
          <w:rFonts w:ascii="Times New Roman" w:hAnsi="Times New Roman" w:cs="Times New Roman"/>
        </w:rPr>
        <w:t xml:space="preserve"> Risk Factor 7 to the early stages of </w:t>
      </w:r>
      <w:r w:rsidR="00BC6660">
        <w:rPr>
          <w:rFonts w:ascii="Times New Roman" w:hAnsi="Times New Roman" w:cs="Times New Roman"/>
        </w:rPr>
        <w:t>each of</w:t>
      </w:r>
      <w:r>
        <w:rPr>
          <w:rFonts w:ascii="Times New Roman" w:hAnsi="Times New Roman" w:cs="Times New Roman"/>
        </w:rPr>
        <w:t xml:space="preserve"> the conflicts discussed above, it is apparent that different indicators are relevant to different phases of each conflict</w:t>
      </w:r>
      <w:r w:rsidR="00697E60">
        <w:rPr>
          <w:rFonts w:ascii="Times New Roman" w:hAnsi="Times New Roman" w:cs="Times New Roman"/>
        </w:rPr>
        <w:t>.</w:t>
      </w:r>
      <w:r w:rsidR="008265F1">
        <w:rPr>
          <w:rFonts w:ascii="Times New Roman" w:hAnsi="Times New Roman" w:cs="Times New Roman"/>
        </w:rPr>
        <w:t xml:space="preserve">  Different indicators, and different numbers of indicators are applicable to each situation.</w:t>
      </w:r>
    </w:p>
    <w:p w14:paraId="7E4D0BE3" w14:textId="1D3CDACC" w:rsidR="00F0106E" w:rsidRPr="00F0106E" w:rsidRDefault="00DD5B89" w:rsidP="006009D2">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In each of the conflicts discussed in Section III (B), one could argue that both indicat</w:t>
      </w:r>
      <w:r w:rsidR="00D93430">
        <w:rPr>
          <w:rFonts w:ascii="Times New Roman" w:hAnsi="Times New Roman" w:cs="Times New Roman"/>
        </w:rPr>
        <w:t xml:space="preserve">ors 7.13 and 7.14 were present.  </w:t>
      </w:r>
      <w:r w:rsidR="00D8138B">
        <w:rPr>
          <w:rFonts w:ascii="Times New Roman" w:hAnsi="Times New Roman" w:cs="Times New Roman"/>
        </w:rPr>
        <w:t>Indicator 7.13 is “</w:t>
      </w:r>
      <w:r w:rsidR="00A26D1E">
        <w:rPr>
          <w:rFonts w:ascii="Times New Roman" w:hAnsi="Times New Roman" w:cs="Times New Roman"/>
        </w:rPr>
        <w:t>[i]</w:t>
      </w:r>
      <w:proofErr w:type="spellStart"/>
      <w:r w:rsidR="00D8138B" w:rsidRPr="00D8138B">
        <w:rPr>
          <w:rFonts w:ascii="Times New Roman" w:hAnsi="Times New Roman" w:cs="Times New Roman"/>
        </w:rPr>
        <w:t>ncreased</w:t>
      </w:r>
      <w:proofErr w:type="spellEnd"/>
      <w:r w:rsidR="00D8138B" w:rsidRPr="00D8138B">
        <w:rPr>
          <w:rFonts w:ascii="Times New Roman" w:hAnsi="Times New Roman" w:cs="Times New Roman"/>
        </w:rPr>
        <w:t xml:space="preserve"> politicization of identity, past events </w:t>
      </w:r>
      <w:r w:rsidR="00D8138B" w:rsidRPr="00D8138B">
        <w:rPr>
          <w:rFonts w:ascii="Times New Roman" w:hAnsi="Times New Roman" w:cs="Times New Roman"/>
        </w:rPr>
        <w:lastRenderedPageBreak/>
        <w:t>or</w:t>
      </w:r>
      <w:r w:rsidR="00D8138B">
        <w:rPr>
          <w:rFonts w:ascii="Times New Roman" w:hAnsi="Times New Roman" w:cs="Times New Roman"/>
        </w:rPr>
        <w:t xml:space="preserve"> motives to engage in violence,”</w:t>
      </w:r>
      <w:r w:rsidR="00A26D1E">
        <w:rPr>
          <w:rStyle w:val="FootnoteReference"/>
          <w:rFonts w:ascii="Times New Roman" w:hAnsi="Times New Roman" w:cs="Times New Roman"/>
        </w:rPr>
        <w:footnoteReference w:id="217"/>
      </w:r>
      <w:r w:rsidR="00D8138B">
        <w:rPr>
          <w:rFonts w:ascii="Times New Roman" w:hAnsi="Times New Roman" w:cs="Times New Roman"/>
        </w:rPr>
        <w:t xml:space="preserve"> and indicator 7.14 is “</w:t>
      </w:r>
      <w:r w:rsidR="00A26D1E">
        <w:rPr>
          <w:rFonts w:ascii="Times New Roman" w:hAnsi="Times New Roman" w:cs="Times New Roman"/>
        </w:rPr>
        <w:t>[i]</w:t>
      </w:r>
      <w:proofErr w:type="spellStart"/>
      <w:r w:rsidR="00D8138B">
        <w:rPr>
          <w:rFonts w:ascii="Times New Roman" w:hAnsi="Times New Roman" w:cs="Times New Roman"/>
        </w:rPr>
        <w:t>ncreased</w:t>
      </w:r>
      <w:proofErr w:type="spellEnd"/>
      <w:r w:rsidR="00D8138B">
        <w:rPr>
          <w:rFonts w:ascii="Times New Roman" w:hAnsi="Times New Roman" w:cs="Times New Roman"/>
        </w:rPr>
        <w:t xml:space="preserve"> infl</w:t>
      </w:r>
      <w:r w:rsidR="00D8138B" w:rsidRPr="00D8138B">
        <w:rPr>
          <w:rFonts w:ascii="Times New Roman" w:hAnsi="Times New Roman" w:cs="Times New Roman"/>
        </w:rPr>
        <w:t>ammatory rhetoric, propaganda campaigns or hate speech targeting protected groups, populations or individuals.</w:t>
      </w:r>
      <w:r w:rsidR="00D8138B">
        <w:rPr>
          <w:rFonts w:ascii="Times New Roman" w:hAnsi="Times New Roman" w:cs="Times New Roman"/>
        </w:rPr>
        <w:t>”</w:t>
      </w:r>
      <w:r w:rsidR="00A26D1E">
        <w:rPr>
          <w:rStyle w:val="FootnoteReference"/>
          <w:rFonts w:ascii="Times New Roman" w:hAnsi="Times New Roman" w:cs="Times New Roman"/>
        </w:rPr>
        <w:footnoteReference w:id="218"/>
      </w:r>
      <w:r w:rsidR="00D93430">
        <w:rPr>
          <w:rFonts w:ascii="Times New Roman" w:hAnsi="Times New Roman" w:cs="Times New Roman"/>
        </w:rPr>
        <w:t xml:space="preserve">  </w:t>
      </w:r>
      <w:r w:rsidR="003B2082">
        <w:rPr>
          <w:rFonts w:ascii="Times New Roman" w:hAnsi="Times New Roman" w:cs="Times New Roman"/>
        </w:rPr>
        <w:t>Some of the other in</w:t>
      </w:r>
      <w:r w:rsidR="007E18EF">
        <w:rPr>
          <w:rFonts w:ascii="Times New Roman" w:hAnsi="Times New Roman" w:cs="Times New Roman"/>
        </w:rPr>
        <w:t>dicator</w:t>
      </w:r>
      <w:r w:rsidR="003548E0">
        <w:rPr>
          <w:rFonts w:ascii="Times New Roman" w:hAnsi="Times New Roman" w:cs="Times New Roman"/>
        </w:rPr>
        <w:t>s are applicable to a single case from the analysis in the previous subsections of this note</w:t>
      </w:r>
      <w:r w:rsidR="00D93430">
        <w:rPr>
          <w:rFonts w:ascii="Times New Roman" w:hAnsi="Times New Roman" w:cs="Times New Roman"/>
        </w:rPr>
        <w:t xml:space="preserve">.  </w:t>
      </w:r>
      <w:r w:rsidR="00031806">
        <w:rPr>
          <w:rFonts w:ascii="Times New Roman" w:hAnsi="Times New Roman" w:cs="Times New Roman"/>
        </w:rPr>
        <w:t>For example, indicator 7.12 (“[m]</w:t>
      </w:r>
      <w:proofErr w:type="spellStart"/>
      <w:r w:rsidR="00031806">
        <w:rPr>
          <w:rFonts w:ascii="Times New Roman" w:hAnsi="Times New Roman" w:cs="Times New Roman"/>
        </w:rPr>
        <w:t>arking</w:t>
      </w:r>
      <w:proofErr w:type="spellEnd"/>
      <w:r w:rsidR="00031806">
        <w:rPr>
          <w:rFonts w:ascii="Times New Roman" w:hAnsi="Times New Roman" w:cs="Times New Roman"/>
        </w:rPr>
        <w:t xml:space="preserve"> of people or their property based on affiliation to a group”</w:t>
      </w:r>
      <w:r w:rsidR="00F0106E">
        <w:rPr>
          <w:rStyle w:val="FootnoteReference"/>
          <w:rFonts w:ascii="Times New Roman" w:hAnsi="Times New Roman" w:cs="Times New Roman"/>
        </w:rPr>
        <w:footnoteReference w:id="219"/>
      </w:r>
      <w:r w:rsidR="00031806">
        <w:rPr>
          <w:rFonts w:ascii="Times New Roman" w:hAnsi="Times New Roman" w:cs="Times New Roman"/>
        </w:rPr>
        <w:t>) was highly prevalent in pre-apartheid South Africa</w:t>
      </w:r>
      <w:r w:rsidR="000A7C2E">
        <w:rPr>
          <w:rFonts w:ascii="Times New Roman" w:hAnsi="Times New Roman" w:cs="Times New Roman"/>
        </w:rPr>
        <w:t xml:space="preserve">.  Additionally, </w:t>
      </w:r>
      <w:r w:rsidR="00F0106E">
        <w:rPr>
          <w:rFonts w:ascii="Times New Roman" w:hAnsi="Times New Roman" w:cs="Times New Roman"/>
        </w:rPr>
        <w:t xml:space="preserve"> “[i]</w:t>
      </w:r>
      <w:proofErr w:type="spellStart"/>
      <w:r w:rsidR="00F0106E" w:rsidRPr="00F0106E">
        <w:rPr>
          <w:rFonts w:ascii="Times New Roman" w:hAnsi="Times New Roman" w:cs="Times New Roman"/>
        </w:rPr>
        <w:t>ncreased</w:t>
      </w:r>
      <w:proofErr w:type="spellEnd"/>
      <w:r w:rsidR="00F0106E" w:rsidRPr="00F0106E">
        <w:rPr>
          <w:rFonts w:ascii="Times New Roman" w:hAnsi="Times New Roman" w:cs="Times New Roman"/>
        </w:rPr>
        <w:t xml:space="preserve"> serious acts of violence against women and children, or creation of conditions that facilitate acts of sexual violence against those groups</w:t>
      </w:r>
      <w:r w:rsidR="00F0106E">
        <w:rPr>
          <w:rFonts w:ascii="Times New Roman" w:hAnsi="Times New Roman" w:cs="Times New Roman"/>
        </w:rPr>
        <w:t>, including as a tool of terror,”</w:t>
      </w:r>
      <w:r w:rsidR="00F0106E">
        <w:rPr>
          <w:rStyle w:val="FootnoteReference"/>
          <w:rFonts w:ascii="Times New Roman" w:hAnsi="Times New Roman" w:cs="Times New Roman"/>
        </w:rPr>
        <w:footnoteReference w:id="220"/>
      </w:r>
      <w:r w:rsidR="000A7C2E">
        <w:rPr>
          <w:rFonts w:ascii="Times New Roman" w:hAnsi="Times New Roman" w:cs="Times New Roman"/>
        </w:rPr>
        <w:t xml:space="preserve"> indicator 7.9, was</w:t>
      </w:r>
      <w:r w:rsidR="00F0106E">
        <w:rPr>
          <w:rFonts w:ascii="Times New Roman" w:hAnsi="Times New Roman" w:cs="Times New Roman"/>
        </w:rPr>
        <w:t xml:space="preserve"> present in Afghanistan under the Taliban.</w:t>
      </w:r>
      <w:r w:rsidR="00F0106E" w:rsidRPr="00F0106E">
        <w:rPr>
          <w:rFonts w:ascii="Times New Roman" w:hAnsi="Times New Roman" w:cs="Times New Roman"/>
        </w:rPr>
        <w:t xml:space="preserve"> </w:t>
      </w:r>
    </w:p>
    <w:p w14:paraId="672B7E26" w14:textId="7008997D" w:rsidR="005C7C2C" w:rsidRDefault="00AF5550" w:rsidP="007D30EA">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 xml:space="preserve">Although all of these situations were deemed serious enough to merit the use of ADR, they each </w:t>
      </w:r>
      <w:r w:rsidR="00031806">
        <w:rPr>
          <w:rFonts w:ascii="Times New Roman" w:hAnsi="Times New Roman" w:cs="Times New Roman"/>
        </w:rPr>
        <w:t xml:space="preserve">involved </w:t>
      </w:r>
      <w:r w:rsidR="00B64974">
        <w:rPr>
          <w:rFonts w:ascii="Times New Roman" w:hAnsi="Times New Roman" w:cs="Times New Roman"/>
        </w:rPr>
        <w:t>a different number of indicators.</w:t>
      </w:r>
      <w:r w:rsidR="00D93430">
        <w:rPr>
          <w:rFonts w:ascii="Times New Roman" w:hAnsi="Times New Roman" w:cs="Times New Roman"/>
        </w:rPr>
        <w:t xml:space="preserve">  </w:t>
      </w:r>
      <w:r w:rsidR="00AB0391">
        <w:rPr>
          <w:rFonts w:ascii="Times New Roman" w:hAnsi="Times New Roman" w:cs="Times New Roman"/>
        </w:rPr>
        <w:t xml:space="preserve">However, this does not provide any clarity as to how many indicators must be present to warrant intervention.  </w:t>
      </w:r>
      <w:r w:rsidR="00F0106E">
        <w:rPr>
          <w:rFonts w:ascii="Times New Roman" w:hAnsi="Times New Roman" w:cs="Times New Roman"/>
        </w:rPr>
        <w:t xml:space="preserve">Unfortunately, the </w:t>
      </w:r>
      <w:r w:rsidR="00607BBD">
        <w:rPr>
          <w:rFonts w:ascii="Times New Roman" w:hAnsi="Times New Roman" w:cs="Times New Roman"/>
        </w:rPr>
        <w:t>U.N.</w:t>
      </w:r>
      <w:r w:rsidR="00F0106E">
        <w:rPr>
          <w:rFonts w:ascii="Times New Roman" w:hAnsi="Times New Roman" w:cs="Times New Roman"/>
        </w:rPr>
        <w:t xml:space="preserve"> Framework</w:t>
      </w:r>
      <w:r w:rsidR="002577BE">
        <w:rPr>
          <w:rFonts w:ascii="Times New Roman" w:hAnsi="Times New Roman" w:cs="Times New Roman"/>
        </w:rPr>
        <w:t xml:space="preserve"> of Analysis</w:t>
      </w:r>
      <w:r w:rsidR="00F0106E">
        <w:rPr>
          <w:rFonts w:ascii="Times New Roman" w:hAnsi="Times New Roman" w:cs="Times New Roman"/>
        </w:rPr>
        <w:t xml:space="preserve"> does n</w:t>
      </w:r>
      <w:r w:rsidR="00D93430">
        <w:rPr>
          <w:rFonts w:ascii="Times New Roman" w:hAnsi="Times New Roman" w:cs="Times New Roman"/>
        </w:rPr>
        <w:t xml:space="preserve">ot provide a definitive answer.  </w:t>
      </w:r>
      <w:r w:rsidR="007501A2">
        <w:rPr>
          <w:rFonts w:ascii="Times New Roman" w:hAnsi="Times New Roman" w:cs="Times New Roman"/>
        </w:rPr>
        <w:t>The only insight it provides into the significance of the number of Risk Facto</w:t>
      </w:r>
      <w:r w:rsidR="00826FE4">
        <w:rPr>
          <w:rFonts w:ascii="Times New Roman" w:hAnsi="Times New Roman" w:cs="Times New Roman"/>
        </w:rPr>
        <w:t>rs an</w:t>
      </w:r>
      <w:r w:rsidR="005C7C2C">
        <w:rPr>
          <w:rFonts w:ascii="Times New Roman" w:hAnsi="Times New Roman" w:cs="Times New Roman"/>
        </w:rPr>
        <w:t>d or indicators present is that:</w:t>
      </w:r>
    </w:p>
    <w:p w14:paraId="700FDDA1" w14:textId="024A0E8E" w:rsidR="005C7C2C" w:rsidRPr="007501A2" w:rsidRDefault="007501A2" w:rsidP="007D30EA">
      <w:pPr>
        <w:widowControl w:val="0"/>
        <w:autoSpaceDE w:val="0"/>
        <w:autoSpaceDN w:val="0"/>
        <w:adjustRightInd w:val="0"/>
        <w:ind w:left="720" w:right="720"/>
        <w:jc w:val="both"/>
        <w:rPr>
          <w:rFonts w:ascii="Times New Roman" w:hAnsi="Times New Roman" w:cs="Times New Roman"/>
        </w:rPr>
      </w:pPr>
      <w:r w:rsidRPr="007501A2">
        <w:rPr>
          <w:rFonts w:ascii="Times New Roman" w:hAnsi="Times New Roman" w:cs="Times New Roman"/>
        </w:rPr>
        <w:t>the more risk factors (and the greater number of relevant indicators) that are present, the greater the risk that an a</w:t>
      </w:r>
      <w:r w:rsidR="00D93430">
        <w:rPr>
          <w:rFonts w:ascii="Times New Roman" w:hAnsi="Times New Roman" w:cs="Times New Roman"/>
        </w:rPr>
        <w:t xml:space="preserve">trocity crime may be committed.  </w:t>
      </w:r>
      <w:r w:rsidRPr="007501A2">
        <w:rPr>
          <w:rFonts w:ascii="Times New Roman" w:hAnsi="Times New Roman" w:cs="Times New Roman"/>
        </w:rPr>
        <w:t>Also, th</w:t>
      </w:r>
      <w:r>
        <w:rPr>
          <w:rFonts w:ascii="Times New Roman" w:hAnsi="Times New Roman" w:cs="Times New Roman"/>
        </w:rPr>
        <w:t>e greater the number of indica</w:t>
      </w:r>
      <w:r w:rsidRPr="007501A2">
        <w:rPr>
          <w:rFonts w:ascii="Times New Roman" w:hAnsi="Times New Roman" w:cs="Times New Roman"/>
        </w:rPr>
        <w:t>tors of a particular risk factor that are present, the greater the importance and role of that factor in a particular situation.</w:t>
      </w:r>
      <w:r>
        <w:rPr>
          <w:rStyle w:val="FootnoteReference"/>
          <w:rFonts w:ascii="Times New Roman" w:hAnsi="Times New Roman" w:cs="Times New Roman"/>
        </w:rPr>
        <w:footnoteReference w:id="221"/>
      </w:r>
    </w:p>
    <w:p w14:paraId="2D7F119A" w14:textId="48CD8E6A" w:rsidR="00D8138B" w:rsidRDefault="00147EF9" w:rsidP="006009D2">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While this is helpful with regards to highlighting the overall seriousness of a given situation, </w:t>
      </w:r>
      <w:r w:rsidR="000B6580">
        <w:rPr>
          <w:rFonts w:ascii="Times New Roman" w:hAnsi="Times New Roman" w:cs="Times New Roman"/>
        </w:rPr>
        <w:t xml:space="preserve">it does not specify a cut-off point. </w:t>
      </w:r>
    </w:p>
    <w:p w14:paraId="096F4FE7" w14:textId="21B80DA5" w:rsidR="007B2B06" w:rsidRDefault="00C25197" w:rsidP="006009D2">
      <w:pPr>
        <w:widowControl w:val="0"/>
        <w:autoSpaceDE w:val="0"/>
        <w:autoSpaceDN w:val="0"/>
        <w:adjustRightInd w:val="0"/>
        <w:jc w:val="both"/>
        <w:rPr>
          <w:rFonts w:ascii="Times New Roman" w:hAnsi="Times New Roman" w:cs="Times New Roman"/>
        </w:rPr>
      </w:pPr>
      <w:r>
        <w:rPr>
          <w:rFonts w:ascii="Times New Roman" w:hAnsi="Times New Roman" w:cs="Times New Roman"/>
        </w:rPr>
        <w:tab/>
        <w:t xml:space="preserve">In future instances, the </w:t>
      </w:r>
      <w:r w:rsidR="00607BBD">
        <w:rPr>
          <w:rFonts w:ascii="Times New Roman" w:hAnsi="Times New Roman" w:cs="Times New Roman"/>
        </w:rPr>
        <w:t>U.N.</w:t>
      </w:r>
      <w:r>
        <w:rPr>
          <w:rFonts w:ascii="Times New Roman" w:hAnsi="Times New Roman" w:cs="Times New Roman"/>
        </w:rPr>
        <w:t xml:space="preserve"> Framework</w:t>
      </w:r>
      <w:r w:rsidR="002577BE">
        <w:rPr>
          <w:rFonts w:ascii="Times New Roman" w:hAnsi="Times New Roman" w:cs="Times New Roman"/>
        </w:rPr>
        <w:t xml:space="preserve"> of Analysis</w:t>
      </w:r>
      <w:r>
        <w:rPr>
          <w:rFonts w:ascii="Times New Roman" w:hAnsi="Times New Roman" w:cs="Times New Roman"/>
        </w:rPr>
        <w:t xml:space="preserve"> should not be applied retroactively, but rather, should be used to monitor the situations in states as they arise</w:t>
      </w:r>
      <w:r w:rsidR="00033022">
        <w:rPr>
          <w:rFonts w:ascii="Times New Roman" w:hAnsi="Times New Roman" w:cs="Times New Roman"/>
        </w:rPr>
        <w:t>, as that was the purpose for which it was created.</w:t>
      </w:r>
      <w:r w:rsidR="00B27B24">
        <w:rPr>
          <w:rStyle w:val="FootnoteReference"/>
          <w:rFonts w:ascii="Times New Roman" w:hAnsi="Times New Roman" w:cs="Times New Roman"/>
        </w:rPr>
        <w:footnoteReference w:id="222"/>
      </w:r>
      <w:r w:rsidR="00B27B24">
        <w:rPr>
          <w:rFonts w:ascii="Times New Roman" w:hAnsi="Times New Roman" w:cs="Times New Roman"/>
        </w:rPr>
        <w:t xml:space="preserve">  </w:t>
      </w:r>
      <w:r w:rsidR="0041644A">
        <w:rPr>
          <w:rFonts w:ascii="Times New Roman" w:hAnsi="Times New Roman" w:cs="Times New Roman"/>
        </w:rPr>
        <w:t xml:space="preserve">In each of the aforementioned situations, </w:t>
      </w:r>
      <w:r w:rsidR="00076643">
        <w:rPr>
          <w:rFonts w:ascii="Times New Roman" w:hAnsi="Times New Roman" w:cs="Times New Roman"/>
        </w:rPr>
        <w:t xml:space="preserve">adjudicative </w:t>
      </w:r>
      <w:r w:rsidR="0041644A">
        <w:rPr>
          <w:rFonts w:ascii="Times New Roman" w:hAnsi="Times New Roman" w:cs="Times New Roman"/>
        </w:rPr>
        <w:t xml:space="preserve">intervention was staged before the point at which </w:t>
      </w:r>
      <w:r w:rsidR="00C97CF2">
        <w:rPr>
          <w:rFonts w:ascii="Times New Roman" w:hAnsi="Times New Roman" w:cs="Times New Roman"/>
        </w:rPr>
        <w:t xml:space="preserve">the </w:t>
      </w:r>
      <w:r w:rsidR="00C97CF2">
        <w:rPr>
          <w:rFonts w:ascii="Times New Roman" w:hAnsi="Times New Roman" w:cs="Times New Roman"/>
        </w:rPr>
        <w:lastRenderedPageBreak/>
        <w:t>eve</w:t>
      </w:r>
      <w:r w:rsidR="00E45141">
        <w:rPr>
          <w:rFonts w:ascii="Times New Roman" w:hAnsi="Times New Roman" w:cs="Times New Roman"/>
        </w:rPr>
        <w:t>nts could be labeled atrocities in the legal sense</w:t>
      </w:r>
      <w:r w:rsidR="006903B6">
        <w:rPr>
          <w:rFonts w:ascii="Times New Roman" w:hAnsi="Times New Roman" w:cs="Times New Roman"/>
        </w:rPr>
        <w:t>.</w:t>
      </w:r>
      <w:r w:rsidR="00497637">
        <w:rPr>
          <w:rStyle w:val="FootnoteReference"/>
          <w:rFonts w:ascii="Times New Roman" w:hAnsi="Times New Roman" w:cs="Times New Roman"/>
        </w:rPr>
        <w:footnoteReference w:id="223"/>
      </w:r>
      <w:r w:rsidR="00A4456C">
        <w:rPr>
          <w:rFonts w:ascii="Times New Roman" w:hAnsi="Times New Roman" w:cs="Times New Roman"/>
        </w:rPr>
        <w:t xml:space="preserve">  </w:t>
      </w:r>
      <w:r w:rsidR="00497637">
        <w:rPr>
          <w:rFonts w:ascii="Times New Roman" w:hAnsi="Times New Roman" w:cs="Times New Roman"/>
        </w:rPr>
        <w:t xml:space="preserve">While this was </w:t>
      </w:r>
      <w:r w:rsidR="00A4456C">
        <w:rPr>
          <w:rFonts w:ascii="Times New Roman" w:hAnsi="Times New Roman" w:cs="Times New Roman"/>
        </w:rPr>
        <w:t xml:space="preserve">a step in the right direction, </w:t>
      </w:r>
      <w:r w:rsidR="005C3A0C">
        <w:rPr>
          <w:rFonts w:ascii="Times New Roman" w:hAnsi="Times New Roman" w:cs="Times New Roman"/>
        </w:rPr>
        <w:t xml:space="preserve">one of </w:t>
      </w:r>
      <w:r w:rsidR="00A4456C">
        <w:rPr>
          <w:rFonts w:ascii="Times New Roman" w:hAnsi="Times New Roman" w:cs="Times New Roman"/>
        </w:rPr>
        <w:t>the goal</w:t>
      </w:r>
      <w:r w:rsidR="005C3A0C">
        <w:rPr>
          <w:rFonts w:ascii="Times New Roman" w:hAnsi="Times New Roman" w:cs="Times New Roman"/>
        </w:rPr>
        <w:t>s</w:t>
      </w:r>
      <w:r w:rsidR="00A4456C">
        <w:rPr>
          <w:rFonts w:ascii="Times New Roman" w:hAnsi="Times New Roman" w:cs="Times New Roman"/>
        </w:rPr>
        <w:t xml:space="preserve"> of atrocity prevention is to avoid the loss of human life or the destruction of cultural property altogether.</w:t>
      </w:r>
      <w:r w:rsidR="00A4456C">
        <w:rPr>
          <w:rStyle w:val="FootnoteReference"/>
          <w:rFonts w:ascii="Times New Roman" w:hAnsi="Times New Roman" w:cs="Times New Roman"/>
        </w:rPr>
        <w:footnoteReference w:id="224"/>
      </w:r>
      <w:r w:rsidR="00076643">
        <w:rPr>
          <w:rFonts w:ascii="Times New Roman" w:hAnsi="Times New Roman" w:cs="Times New Roman"/>
        </w:rPr>
        <w:t xml:space="preserve">  This was certainly not the case in any of the above situations.  </w:t>
      </w:r>
      <w:r w:rsidR="00A4456C">
        <w:rPr>
          <w:rFonts w:ascii="Times New Roman" w:hAnsi="Times New Roman" w:cs="Times New Roman"/>
        </w:rPr>
        <w:t xml:space="preserve">Any future system of intervention should be set up in such a way that it is </w:t>
      </w:r>
      <w:r w:rsidR="00076643">
        <w:rPr>
          <w:rFonts w:ascii="Times New Roman" w:hAnsi="Times New Roman" w:cs="Times New Roman"/>
        </w:rPr>
        <w:t xml:space="preserve">triggered at the first sign of the (confirmed and vetted) presence of indicators. </w:t>
      </w:r>
    </w:p>
    <w:p w14:paraId="28D3B90E" w14:textId="77777777" w:rsidR="00652CF0" w:rsidRDefault="00652CF0" w:rsidP="006009D2">
      <w:pPr>
        <w:widowControl w:val="0"/>
        <w:autoSpaceDE w:val="0"/>
        <w:autoSpaceDN w:val="0"/>
        <w:adjustRightInd w:val="0"/>
        <w:jc w:val="both"/>
        <w:rPr>
          <w:rFonts w:ascii="Times New Roman" w:hAnsi="Times New Roman" w:cs="Times New Roman"/>
        </w:rPr>
      </w:pPr>
    </w:p>
    <w:p w14:paraId="642154DC" w14:textId="6DD39116" w:rsidR="00EA39DB" w:rsidRPr="00AB6113" w:rsidRDefault="00987C06" w:rsidP="00AB6113">
      <w:pPr>
        <w:widowControl w:val="0"/>
        <w:autoSpaceDE w:val="0"/>
        <w:autoSpaceDN w:val="0"/>
        <w:adjustRightInd w:val="0"/>
        <w:jc w:val="center"/>
        <w:rPr>
          <w:rFonts w:ascii="Times New Roman" w:hAnsi="Times New Roman" w:cs="Times New Roman"/>
        </w:rPr>
      </w:pPr>
      <w:r w:rsidRPr="00AB6113">
        <w:rPr>
          <w:rFonts w:ascii="Times New Roman" w:hAnsi="Times New Roman" w:cs="Times New Roman"/>
          <w:smallCaps/>
        </w:rPr>
        <w:t xml:space="preserve">IV.  </w:t>
      </w:r>
      <w:r w:rsidR="00857B8D" w:rsidRPr="00AB6113">
        <w:rPr>
          <w:rFonts w:ascii="Times New Roman" w:hAnsi="Times New Roman" w:cs="Times New Roman"/>
          <w:smallCaps/>
        </w:rPr>
        <w:t>Proposal</w:t>
      </w:r>
      <w:r w:rsidR="00995083" w:rsidRPr="00AB6113">
        <w:rPr>
          <w:rFonts w:ascii="Times New Roman" w:hAnsi="Times New Roman" w:cs="Times New Roman"/>
          <w:smallCaps/>
        </w:rPr>
        <w:t xml:space="preserve"> for a Comprehensive, International </w:t>
      </w:r>
      <w:r w:rsidR="00EF5548" w:rsidRPr="00AB6113">
        <w:rPr>
          <w:rFonts w:ascii="Times New Roman" w:hAnsi="Times New Roman" w:cs="Times New Roman"/>
          <w:smallCaps/>
        </w:rPr>
        <w:t xml:space="preserve">ADR </w:t>
      </w:r>
      <w:r w:rsidR="00995083" w:rsidRPr="00AB6113">
        <w:rPr>
          <w:rFonts w:ascii="Times New Roman" w:hAnsi="Times New Roman" w:cs="Times New Roman"/>
          <w:smallCaps/>
        </w:rPr>
        <w:t>Mechanism for Early Intervention</w:t>
      </w:r>
    </w:p>
    <w:p w14:paraId="4DDA18A8" w14:textId="77777777" w:rsidR="00EE48D9" w:rsidRPr="00AB6113" w:rsidRDefault="00EE48D9" w:rsidP="00AB6113">
      <w:pPr>
        <w:widowControl w:val="0"/>
        <w:autoSpaceDE w:val="0"/>
        <w:autoSpaceDN w:val="0"/>
        <w:adjustRightInd w:val="0"/>
        <w:rPr>
          <w:rFonts w:ascii="Times New Roman" w:hAnsi="Times New Roman" w:cs="Times New Roman"/>
        </w:rPr>
      </w:pPr>
    </w:p>
    <w:p w14:paraId="288EDFEC" w14:textId="746F6791" w:rsidR="00EE48D9" w:rsidRPr="00AB6113" w:rsidRDefault="00987C06" w:rsidP="00AB6113">
      <w:pPr>
        <w:widowControl w:val="0"/>
        <w:autoSpaceDE w:val="0"/>
        <w:autoSpaceDN w:val="0"/>
        <w:adjustRightInd w:val="0"/>
        <w:jc w:val="center"/>
        <w:rPr>
          <w:rFonts w:ascii="Times New Roman" w:hAnsi="Times New Roman" w:cs="Times New Roman"/>
          <w:i/>
          <w:iCs/>
        </w:rPr>
      </w:pPr>
      <w:r w:rsidRPr="00AB6113">
        <w:rPr>
          <w:rFonts w:ascii="Times New Roman" w:hAnsi="Times New Roman" w:cs="Times New Roman"/>
          <w:iCs/>
        </w:rPr>
        <w:t xml:space="preserve">A.  </w:t>
      </w:r>
      <w:r w:rsidR="00EE48D9" w:rsidRPr="00AB6113">
        <w:rPr>
          <w:rFonts w:ascii="Times New Roman" w:hAnsi="Times New Roman" w:cs="Times New Roman"/>
          <w:i/>
          <w:iCs/>
        </w:rPr>
        <w:t xml:space="preserve">Why is ADR the </w:t>
      </w:r>
      <w:r w:rsidR="006E2EA3" w:rsidRPr="00AB6113">
        <w:rPr>
          <w:rFonts w:ascii="Times New Roman" w:hAnsi="Times New Roman" w:cs="Times New Roman"/>
          <w:i/>
          <w:iCs/>
        </w:rPr>
        <w:t>I</w:t>
      </w:r>
      <w:r w:rsidR="00EE48D9" w:rsidRPr="00AB6113">
        <w:rPr>
          <w:rFonts w:ascii="Times New Roman" w:hAnsi="Times New Roman" w:cs="Times New Roman"/>
          <w:i/>
          <w:iCs/>
        </w:rPr>
        <w:t xml:space="preserve">deal </w:t>
      </w:r>
      <w:r w:rsidR="006E2EA3" w:rsidRPr="00AB6113">
        <w:rPr>
          <w:rFonts w:ascii="Times New Roman" w:hAnsi="Times New Roman" w:cs="Times New Roman"/>
          <w:i/>
          <w:iCs/>
        </w:rPr>
        <w:t>A</w:t>
      </w:r>
      <w:r w:rsidR="00EE48D9" w:rsidRPr="00AB6113">
        <w:rPr>
          <w:rFonts w:ascii="Times New Roman" w:hAnsi="Times New Roman" w:cs="Times New Roman"/>
          <w:i/>
          <w:iCs/>
        </w:rPr>
        <w:t xml:space="preserve">djudicative </w:t>
      </w:r>
      <w:r w:rsidR="006E2EA3" w:rsidRPr="00AB6113">
        <w:rPr>
          <w:rFonts w:ascii="Times New Roman" w:hAnsi="Times New Roman" w:cs="Times New Roman"/>
          <w:i/>
          <w:iCs/>
        </w:rPr>
        <w:t>T</w:t>
      </w:r>
      <w:r w:rsidR="00EE48D9" w:rsidRPr="00AB6113">
        <w:rPr>
          <w:rFonts w:ascii="Times New Roman" w:hAnsi="Times New Roman" w:cs="Times New Roman"/>
          <w:i/>
          <w:iCs/>
        </w:rPr>
        <w:t xml:space="preserve">ool in </w:t>
      </w:r>
      <w:r w:rsidR="006E2EA3" w:rsidRPr="00AB6113">
        <w:rPr>
          <w:rFonts w:ascii="Times New Roman" w:hAnsi="Times New Roman" w:cs="Times New Roman"/>
          <w:i/>
          <w:iCs/>
        </w:rPr>
        <w:t>S</w:t>
      </w:r>
      <w:r w:rsidR="005C3A0C" w:rsidRPr="00AB6113">
        <w:rPr>
          <w:rFonts w:ascii="Times New Roman" w:hAnsi="Times New Roman" w:cs="Times New Roman"/>
          <w:i/>
          <w:iCs/>
        </w:rPr>
        <w:t xml:space="preserve">ituations of </w:t>
      </w:r>
      <w:r w:rsidR="006E2EA3" w:rsidRPr="00AB6113">
        <w:rPr>
          <w:rFonts w:ascii="Times New Roman" w:hAnsi="Times New Roman" w:cs="Times New Roman"/>
          <w:i/>
          <w:iCs/>
        </w:rPr>
        <w:t>A</w:t>
      </w:r>
      <w:r w:rsidR="005C3A0C" w:rsidRPr="00AB6113">
        <w:rPr>
          <w:rFonts w:ascii="Times New Roman" w:hAnsi="Times New Roman" w:cs="Times New Roman"/>
          <w:i/>
          <w:iCs/>
        </w:rPr>
        <w:t xml:space="preserve">trocity </w:t>
      </w:r>
      <w:r w:rsidR="006E2EA3" w:rsidRPr="00AB6113">
        <w:rPr>
          <w:rFonts w:ascii="Times New Roman" w:hAnsi="Times New Roman" w:cs="Times New Roman"/>
          <w:i/>
          <w:iCs/>
        </w:rPr>
        <w:t>C</w:t>
      </w:r>
      <w:r w:rsidR="005C3A0C" w:rsidRPr="00AB6113">
        <w:rPr>
          <w:rFonts w:ascii="Times New Roman" w:hAnsi="Times New Roman" w:cs="Times New Roman"/>
          <w:i/>
          <w:iCs/>
        </w:rPr>
        <w:t>rimes</w:t>
      </w:r>
      <w:r w:rsidR="00EE48D9" w:rsidRPr="00AB6113">
        <w:rPr>
          <w:rFonts w:ascii="Times New Roman" w:hAnsi="Times New Roman" w:cs="Times New Roman"/>
          <w:i/>
          <w:iCs/>
        </w:rPr>
        <w:t>?</w:t>
      </w:r>
    </w:p>
    <w:p w14:paraId="0E58F5B6" w14:textId="77777777" w:rsidR="007B2B06" w:rsidRPr="00AB6113" w:rsidRDefault="007B2B06" w:rsidP="00AB6113">
      <w:pPr>
        <w:widowControl w:val="0"/>
        <w:autoSpaceDE w:val="0"/>
        <w:autoSpaceDN w:val="0"/>
        <w:adjustRightInd w:val="0"/>
        <w:rPr>
          <w:rFonts w:ascii="Times New Roman" w:hAnsi="Times New Roman" w:cs="Times New Roman"/>
        </w:rPr>
      </w:pPr>
    </w:p>
    <w:p w14:paraId="0D1C1E7D" w14:textId="15DEB2F3" w:rsidR="004903C7" w:rsidRDefault="008252B2" w:rsidP="006009D2">
      <w:pPr>
        <w:widowControl w:val="0"/>
        <w:autoSpaceDE w:val="0"/>
        <w:autoSpaceDN w:val="0"/>
        <w:adjustRightInd w:val="0"/>
        <w:ind w:firstLine="720"/>
        <w:jc w:val="both"/>
        <w:rPr>
          <w:rFonts w:ascii="Times New Roman" w:hAnsi="Times New Roman" w:cs="Times New Roman"/>
        </w:rPr>
      </w:pPr>
      <w:r w:rsidRPr="008252B2">
        <w:rPr>
          <w:rFonts w:ascii="Times New Roman" w:hAnsi="Times New Roman" w:cs="Times New Roman"/>
        </w:rPr>
        <w:t xml:space="preserve">ADR is frequently utilized </w:t>
      </w:r>
      <w:r w:rsidR="00FC4C9F">
        <w:rPr>
          <w:rFonts w:ascii="Times New Roman" w:hAnsi="Times New Roman" w:cs="Times New Roman"/>
        </w:rPr>
        <w:t>to resolve</w:t>
      </w:r>
      <w:r w:rsidR="004903C7">
        <w:rPr>
          <w:rFonts w:ascii="Times New Roman" w:hAnsi="Times New Roman" w:cs="Times New Roman"/>
        </w:rPr>
        <w:t xml:space="preserve"> situations of atrocity, and should be utilized to prevent atrocities as well. </w:t>
      </w:r>
      <w:r w:rsidR="006E2EA3">
        <w:rPr>
          <w:rFonts w:ascii="Times New Roman" w:hAnsi="Times New Roman" w:cs="Times New Roman"/>
        </w:rPr>
        <w:t xml:space="preserve"> </w:t>
      </w:r>
      <w:r w:rsidR="00995083">
        <w:rPr>
          <w:rFonts w:ascii="Times New Roman" w:hAnsi="Times New Roman" w:cs="Times New Roman"/>
        </w:rPr>
        <w:t xml:space="preserve">This is because </w:t>
      </w:r>
      <w:r w:rsidR="004903C7">
        <w:rPr>
          <w:rFonts w:ascii="Times New Roman" w:hAnsi="Times New Roman" w:cs="Times New Roman"/>
        </w:rPr>
        <w:t>ADR offers a comprehensive solution to each of the root causes of atrocity crimes.</w:t>
      </w:r>
      <w:r w:rsidR="00DA5F8E">
        <w:rPr>
          <w:rStyle w:val="FootnoteReference"/>
          <w:rFonts w:ascii="Times New Roman" w:hAnsi="Times New Roman" w:cs="Times New Roman"/>
        </w:rPr>
        <w:footnoteReference w:id="225"/>
      </w:r>
      <w:r w:rsidR="00995083">
        <w:rPr>
          <w:rFonts w:ascii="Times New Roman" w:hAnsi="Times New Roman" w:cs="Times New Roman"/>
        </w:rPr>
        <w:t xml:space="preserve">  By allowing individual victims and perpetrators to come forward and have their voices heard, ADR ensures that each issue that led to the process of atrocity</w:t>
      </w:r>
      <w:r w:rsidR="00F1571A">
        <w:rPr>
          <w:rFonts w:ascii="Times New Roman" w:hAnsi="Times New Roman" w:cs="Times New Roman"/>
        </w:rPr>
        <w:t xml:space="preserve"> is addressed, which builds a more resilient society.</w:t>
      </w:r>
      <w:r w:rsidR="00FD3164">
        <w:rPr>
          <w:rStyle w:val="FootnoteReference"/>
          <w:rFonts w:ascii="Times New Roman" w:hAnsi="Times New Roman" w:cs="Times New Roman"/>
        </w:rPr>
        <w:footnoteReference w:id="226"/>
      </w:r>
      <w:r w:rsidR="00995083">
        <w:rPr>
          <w:rFonts w:ascii="Times New Roman" w:hAnsi="Times New Roman" w:cs="Times New Roman"/>
        </w:rPr>
        <w:t xml:space="preserve"> </w:t>
      </w:r>
      <w:r w:rsidR="004903C7">
        <w:rPr>
          <w:rFonts w:ascii="Times New Roman" w:hAnsi="Times New Roman" w:cs="Times New Roman"/>
        </w:rPr>
        <w:t xml:space="preserve"> Criminal prosecution simply focuses on a single aspect of atrocity crimes, the perpetrator, and assigns them all of the blame, rather than addressing the issues that permeate society.</w:t>
      </w:r>
      <w:r w:rsidR="00E11348">
        <w:rPr>
          <w:rStyle w:val="FootnoteReference"/>
          <w:rFonts w:ascii="Times New Roman" w:hAnsi="Times New Roman" w:cs="Times New Roman"/>
        </w:rPr>
        <w:footnoteReference w:id="227"/>
      </w:r>
      <w:r w:rsidR="00F1571A">
        <w:rPr>
          <w:rFonts w:ascii="Times New Roman" w:hAnsi="Times New Roman" w:cs="Times New Roman"/>
        </w:rPr>
        <w:t xml:space="preserve">  Furthermore, criminal prosecutions are often viewed as being one-sided, and can be seen as sacrificing peace in order to bring about justice.</w:t>
      </w:r>
      <w:r w:rsidR="00F1571A">
        <w:rPr>
          <w:rStyle w:val="FootnoteReference"/>
          <w:rFonts w:ascii="Times New Roman" w:hAnsi="Times New Roman" w:cs="Times New Roman"/>
        </w:rPr>
        <w:footnoteReference w:id="228"/>
      </w:r>
      <w:r w:rsidR="00F1571A">
        <w:rPr>
          <w:rFonts w:ascii="Times New Roman" w:hAnsi="Times New Roman" w:cs="Times New Roman"/>
        </w:rPr>
        <w:t xml:space="preserve"> </w:t>
      </w:r>
      <w:r w:rsidR="002B3870">
        <w:rPr>
          <w:rFonts w:ascii="Times New Roman" w:hAnsi="Times New Roman" w:cs="Times New Roman"/>
        </w:rPr>
        <w:t xml:space="preserve"> The </w:t>
      </w:r>
      <w:r w:rsidR="00607BBD">
        <w:rPr>
          <w:rFonts w:ascii="Times New Roman" w:hAnsi="Times New Roman" w:cs="Times New Roman"/>
        </w:rPr>
        <w:t>U.N.</w:t>
      </w:r>
      <w:r w:rsidR="002B3870">
        <w:rPr>
          <w:rFonts w:ascii="Times New Roman" w:hAnsi="Times New Roman" w:cs="Times New Roman"/>
        </w:rPr>
        <w:t xml:space="preserve"> Framework </w:t>
      </w:r>
      <w:r w:rsidR="002577BE">
        <w:rPr>
          <w:rFonts w:ascii="Times New Roman" w:hAnsi="Times New Roman" w:cs="Times New Roman"/>
        </w:rPr>
        <w:t xml:space="preserve">of Analysis </w:t>
      </w:r>
      <w:r w:rsidR="002B3870">
        <w:rPr>
          <w:rFonts w:ascii="Times New Roman" w:hAnsi="Times New Roman" w:cs="Times New Roman"/>
        </w:rPr>
        <w:t xml:space="preserve">states that the </w:t>
      </w:r>
      <w:r w:rsidR="00E21DB0">
        <w:rPr>
          <w:rFonts w:ascii="Times New Roman" w:hAnsi="Times New Roman" w:cs="Times New Roman"/>
        </w:rPr>
        <w:t>ideal way</w:t>
      </w:r>
      <w:r w:rsidR="002B3870">
        <w:rPr>
          <w:rFonts w:ascii="Times New Roman" w:hAnsi="Times New Roman" w:cs="Times New Roman"/>
        </w:rPr>
        <w:t xml:space="preserve"> to prevent atrocity crimes is “to bu</w:t>
      </w:r>
      <w:r w:rsidR="00AB6113">
        <w:rPr>
          <w:rFonts w:ascii="Times New Roman" w:hAnsi="Times New Roman" w:cs="Times New Roman"/>
        </w:rPr>
        <w:t xml:space="preserve">ild the resilience of societies . . . </w:t>
      </w:r>
      <w:r w:rsidR="00FB0437">
        <w:rPr>
          <w:rFonts w:ascii="Times New Roman" w:hAnsi="Times New Roman" w:cs="Times New Roman"/>
        </w:rPr>
        <w:t>by ensuring that the rule of law is respected</w:t>
      </w:r>
      <w:r w:rsidR="00920FFF">
        <w:rPr>
          <w:rFonts w:ascii="Times New Roman" w:hAnsi="Times New Roman" w:cs="Times New Roman"/>
        </w:rPr>
        <w:t xml:space="preserve"> and that all human rights are protected, without </w:t>
      </w:r>
      <w:r w:rsidR="00920FFF">
        <w:rPr>
          <w:rFonts w:ascii="Times New Roman" w:hAnsi="Times New Roman" w:cs="Times New Roman"/>
        </w:rPr>
        <w:lastRenderedPageBreak/>
        <w:t>discrimination…”</w:t>
      </w:r>
      <w:r w:rsidR="00920FFF">
        <w:rPr>
          <w:rStyle w:val="FootnoteReference"/>
          <w:rFonts w:ascii="Times New Roman" w:hAnsi="Times New Roman" w:cs="Times New Roman"/>
        </w:rPr>
        <w:footnoteReference w:id="229"/>
      </w:r>
      <w:r w:rsidR="006C733C">
        <w:rPr>
          <w:rFonts w:ascii="Times New Roman" w:hAnsi="Times New Roman" w:cs="Times New Roman"/>
        </w:rPr>
        <w:t xml:space="preserve">  </w:t>
      </w:r>
      <w:r w:rsidR="00920FFF">
        <w:rPr>
          <w:rFonts w:ascii="Times New Roman" w:hAnsi="Times New Roman" w:cs="Times New Roman"/>
        </w:rPr>
        <w:t>The best way to do</w:t>
      </w:r>
      <w:r w:rsidR="008265F1">
        <w:rPr>
          <w:rFonts w:ascii="Times New Roman" w:hAnsi="Times New Roman" w:cs="Times New Roman"/>
        </w:rPr>
        <w:t xml:space="preserve"> this is to both build capacity</w:t>
      </w:r>
      <w:r w:rsidR="00920FFF">
        <w:rPr>
          <w:rFonts w:ascii="Times New Roman" w:hAnsi="Times New Roman" w:cs="Times New Roman"/>
        </w:rPr>
        <w:t xml:space="preserve"> and establi</w:t>
      </w:r>
      <w:r w:rsidR="007C7B16">
        <w:rPr>
          <w:rFonts w:ascii="Times New Roman" w:hAnsi="Times New Roman" w:cs="Times New Roman"/>
        </w:rPr>
        <w:t xml:space="preserve">sh trust in state institutions.  </w:t>
      </w:r>
      <w:r w:rsidR="006935E5">
        <w:rPr>
          <w:rFonts w:ascii="Times New Roman" w:hAnsi="Times New Roman" w:cs="Times New Roman"/>
        </w:rPr>
        <w:t>Process</w:t>
      </w:r>
      <w:r w:rsidR="007C7B16">
        <w:rPr>
          <w:rFonts w:ascii="Times New Roman" w:hAnsi="Times New Roman" w:cs="Times New Roman"/>
        </w:rPr>
        <w:t>es</w:t>
      </w:r>
      <w:r w:rsidR="006935E5">
        <w:rPr>
          <w:rFonts w:ascii="Times New Roman" w:hAnsi="Times New Roman" w:cs="Times New Roman"/>
        </w:rPr>
        <w:t xml:space="preserve"> of reconciliation </w:t>
      </w:r>
      <w:r w:rsidR="007C7B16">
        <w:rPr>
          <w:rFonts w:ascii="Times New Roman" w:hAnsi="Times New Roman" w:cs="Times New Roman"/>
        </w:rPr>
        <w:t>facilitated through ADR mecha</w:t>
      </w:r>
      <w:r w:rsidR="00995083">
        <w:rPr>
          <w:rFonts w:ascii="Times New Roman" w:hAnsi="Times New Roman" w:cs="Times New Roman"/>
        </w:rPr>
        <w:t>nisms allow for this to happen</w:t>
      </w:r>
      <w:r w:rsidR="00BC1FD9">
        <w:rPr>
          <w:rFonts w:ascii="Times New Roman" w:hAnsi="Times New Roman" w:cs="Times New Roman"/>
        </w:rPr>
        <w:t xml:space="preserve"> because they provide individuals with a degree of involvement in the process</w:t>
      </w:r>
      <w:r w:rsidR="00995083">
        <w:rPr>
          <w:rFonts w:ascii="Times New Roman" w:hAnsi="Times New Roman" w:cs="Times New Roman"/>
        </w:rPr>
        <w:t xml:space="preserve">.  Furthermore, the nature of reconciliation and transitional justice is such that it is better served through ADR mechanisms than through international criminal prosecutions.  </w:t>
      </w:r>
    </w:p>
    <w:p w14:paraId="117B633A" w14:textId="6D8E49B9" w:rsidR="001313A2" w:rsidRDefault="00E11348" w:rsidP="006009D2">
      <w:pPr>
        <w:widowControl w:val="0"/>
        <w:autoSpaceDE w:val="0"/>
        <w:autoSpaceDN w:val="0"/>
        <w:adjustRightInd w:val="0"/>
        <w:spacing w:after="240"/>
        <w:ind w:firstLine="720"/>
        <w:contextualSpacing/>
        <w:jc w:val="both"/>
        <w:rPr>
          <w:rFonts w:ascii="Times New Roman" w:hAnsi="Times New Roman" w:cs="Times New Roman"/>
        </w:rPr>
      </w:pPr>
      <w:r>
        <w:rPr>
          <w:rFonts w:ascii="Times New Roman" w:hAnsi="Times New Roman" w:cs="Times New Roman"/>
          <w:color w:val="000000" w:themeColor="text1"/>
        </w:rPr>
        <w:t>Not every atrocity prevention scholar would agree that it is preferable to use ADR in these situations.</w:t>
      </w:r>
      <w:r w:rsidR="00047DD9">
        <w:rPr>
          <w:rFonts w:ascii="Times New Roman" w:hAnsi="Times New Roman" w:cs="Times New Roman"/>
          <w:color w:val="000000" w:themeColor="text1"/>
        </w:rPr>
        <w:t xml:space="preserve"> </w:t>
      </w:r>
      <w:r w:rsidR="006E2EA3">
        <w:rPr>
          <w:rFonts w:ascii="Times New Roman" w:hAnsi="Times New Roman" w:cs="Times New Roman"/>
          <w:color w:val="000000" w:themeColor="text1"/>
        </w:rPr>
        <w:t xml:space="preserve"> </w:t>
      </w:r>
      <w:r w:rsidR="00047DD9">
        <w:rPr>
          <w:rFonts w:ascii="Times New Roman" w:hAnsi="Times New Roman" w:cs="Times New Roman"/>
          <w:color w:val="000000" w:themeColor="text1"/>
        </w:rPr>
        <w:t xml:space="preserve">There are those, such as </w:t>
      </w:r>
      <w:proofErr w:type="spellStart"/>
      <w:r w:rsidR="00937E15">
        <w:rPr>
          <w:rFonts w:ascii="Times New Roman" w:hAnsi="Times New Roman" w:cs="Times New Roman"/>
          <w:color w:val="000000" w:themeColor="text1"/>
        </w:rPr>
        <w:t>Kydd</w:t>
      </w:r>
      <w:proofErr w:type="spellEnd"/>
      <w:r w:rsidR="00937E15">
        <w:rPr>
          <w:rFonts w:ascii="Times New Roman" w:hAnsi="Times New Roman" w:cs="Times New Roman"/>
          <w:color w:val="000000" w:themeColor="text1"/>
        </w:rPr>
        <w:t xml:space="preserve"> and Straus, whose default assumption is that </w:t>
      </w:r>
      <w:r w:rsidR="00D17BD2">
        <w:rPr>
          <w:rFonts w:ascii="Times New Roman" w:hAnsi="Times New Roman" w:cs="Times New Roman"/>
          <w:color w:val="000000" w:themeColor="text1"/>
        </w:rPr>
        <w:t>military intervention is ideal.</w:t>
      </w:r>
      <w:r w:rsidR="00D17BD2">
        <w:rPr>
          <w:rStyle w:val="FootnoteReference"/>
          <w:rFonts w:ascii="Times New Roman" w:hAnsi="Times New Roman" w:cs="Times New Roman"/>
          <w:color w:val="000000" w:themeColor="text1"/>
        </w:rPr>
        <w:footnoteReference w:id="230"/>
      </w:r>
      <w:r w:rsidR="00415251">
        <w:rPr>
          <w:rFonts w:ascii="Times New Roman" w:hAnsi="Times New Roman" w:cs="Times New Roman"/>
          <w:color w:val="000000" w:themeColor="text1"/>
        </w:rPr>
        <w:t xml:space="preserve">  </w:t>
      </w:r>
      <w:r w:rsidR="000E497A">
        <w:rPr>
          <w:rFonts w:ascii="Times New Roman" w:hAnsi="Times New Roman" w:cs="Times New Roman"/>
          <w:color w:val="000000" w:themeColor="text1"/>
        </w:rPr>
        <w:t xml:space="preserve">Others might argue, as did Sewall, that military intervention is actually preferable </w:t>
      </w:r>
      <w:r w:rsidR="00BC1FD9">
        <w:rPr>
          <w:rFonts w:ascii="Times New Roman" w:hAnsi="Times New Roman" w:cs="Times New Roman"/>
          <w:color w:val="000000" w:themeColor="text1"/>
        </w:rPr>
        <w:t>to other forms of intervention.</w:t>
      </w:r>
      <w:r w:rsidR="00415251">
        <w:rPr>
          <w:rStyle w:val="FootnoteReference"/>
          <w:rFonts w:ascii="Times New Roman" w:hAnsi="Times New Roman" w:cs="Times New Roman"/>
          <w:color w:val="000000" w:themeColor="text1"/>
        </w:rPr>
        <w:footnoteReference w:id="231"/>
      </w:r>
      <w:r w:rsidR="00F95BE2">
        <w:rPr>
          <w:rFonts w:ascii="Times New Roman" w:hAnsi="Times New Roman" w:cs="Times New Roman"/>
          <w:color w:val="000000" w:themeColor="text1"/>
        </w:rPr>
        <w:t xml:space="preserve">  Even </w:t>
      </w:r>
      <w:r w:rsidR="007A5E36">
        <w:rPr>
          <w:rFonts w:ascii="Times New Roman" w:hAnsi="Times New Roman" w:cs="Times New Roman"/>
          <w:color w:val="000000" w:themeColor="text1"/>
        </w:rPr>
        <w:t xml:space="preserve">those </w:t>
      </w:r>
      <w:r w:rsidR="00F95BE2">
        <w:rPr>
          <w:rFonts w:ascii="Times New Roman" w:hAnsi="Times New Roman" w:cs="Times New Roman"/>
          <w:color w:val="000000" w:themeColor="text1"/>
        </w:rPr>
        <w:t>who propose ADR as an atrocity prevention mechanism are wary of its potential applications.</w:t>
      </w:r>
      <w:r w:rsidR="006E2EA3">
        <w:rPr>
          <w:rFonts w:ascii="Times New Roman" w:hAnsi="Times New Roman" w:cs="Times New Roman"/>
          <w:color w:val="000000" w:themeColor="text1"/>
        </w:rPr>
        <w:t xml:space="preserve"> </w:t>
      </w:r>
      <w:r w:rsidR="00F95BE2">
        <w:rPr>
          <w:rFonts w:ascii="Times New Roman" w:hAnsi="Times New Roman" w:cs="Times New Roman"/>
          <w:color w:val="000000" w:themeColor="text1"/>
        </w:rPr>
        <w:t xml:space="preserve"> </w:t>
      </w:r>
      <w:r w:rsidR="00A50F26">
        <w:rPr>
          <w:rFonts w:ascii="Times New Roman" w:hAnsi="Times New Roman" w:cs="Times New Roman"/>
          <w:color w:val="000000" w:themeColor="text1"/>
        </w:rPr>
        <w:t>Take, as an example,</w:t>
      </w:r>
      <w:r w:rsidR="006E122B">
        <w:rPr>
          <w:rFonts w:ascii="Times New Roman" w:hAnsi="Times New Roman" w:cs="Times New Roman"/>
          <w:color w:val="000000" w:themeColor="text1"/>
        </w:rPr>
        <w:t xml:space="preserve"> Nader and Grande, who say that; “</w:t>
      </w:r>
      <w:r w:rsidR="006E122B" w:rsidRPr="006E122B">
        <w:rPr>
          <w:rFonts w:ascii="Times New Roman" w:hAnsi="Times New Roman" w:cs="Times New Roman"/>
        </w:rPr>
        <w:t>mandatory mediation abridges freedom because it is often outside the law, eliminates choice of procedure, removes equal protection before an adversary law, and is generally hidden from view.</w:t>
      </w:r>
      <w:r w:rsidR="006E122B">
        <w:rPr>
          <w:rFonts w:ascii="Times New Roman" w:hAnsi="Times New Roman" w:cs="Times New Roman"/>
        </w:rPr>
        <w:t>”</w:t>
      </w:r>
      <w:r w:rsidR="00474BE2">
        <w:rPr>
          <w:rStyle w:val="FootnoteReference"/>
          <w:rFonts w:ascii="Times New Roman" w:hAnsi="Times New Roman" w:cs="Times New Roman"/>
        </w:rPr>
        <w:footnoteReference w:id="232"/>
      </w:r>
      <w:r w:rsidR="00B56173">
        <w:rPr>
          <w:rFonts w:ascii="Times New Roman" w:hAnsi="Times New Roman" w:cs="Times New Roman"/>
        </w:rPr>
        <w:t xml:space="preserve">  However, these adverse effects can be combated if the system is pluralistic and allows for the</w:t>
      </w:r>
      <w:r w:rsidR="009A7E90">
        <w:rPr>
          <w:rFonts w:ascii="Times New Roman" w:hAnsi="Times New Roman" w:cs="Times New Roman"/>
        </w:rPr>
        <w:t xml:space="preserve"> use of other legal methods,  </w:t>
      </w:r>
      <w:r w:rsidR="00B56173">
        <w:rPr>
          <w:rFonts w:ascii="Times New Roman" w:hAnsi="Times New Roman" w:cs="Times New Roman"/>
        </w:rPr>
        <w:t xml:space="preserve">if </w:t>
      </w:r>
      <w:r w:rsidR="003C7780">
        <w:rPr>
          <w:rFonts w:ascii="Times New Roman" w:hAnsi="Times New Roman" w:cs="Times New Roman"/>
        </w:rPr>
        <w:t>it is collectivist in nature</w:t>
      </w:r>
      <w:r w:rsidR="009A7E90">
        <w:rPr>
          <w:rFonts w:ascii="Times New Roman" w:hAnsi="Times New Roman" w:cs="Times New Roman"/>
        </w:rPr>
        <w:t>, and if it avoids strict adherence to a single form of ADR</w:t>
      </w:r>
      <w:r w:rsidR="003C7780">
        <w:rPr>
          <w:rFonts w:ascii="Times New Roman" w:hAnsi="Times New Roman" w:cs="Times New Roman"/>
        </w:rPr>
        <w:t>.</w:t>
      </w:r>
      <w:r w:rsidR="003C7780">
        <w:rPr>
          <w:rStyle w:val="FootnoteReference"/>
          <w:rFonts w:ascii="Times New Roman" w:hAnsi="Times New Roman" w:cs="Times New Roman"/>
        </w:rPr>
        <w:footnoteReference w:id="233"/>
      </w:r>
      <w:r w:rsidR="003C7780">
        <w:rPr>
          <w:rFonts w:ascii="Times New Roman" w:hAnsi="Times New Roman" w:cs="Times New Roman"/>
        </w:rPr>
        <w:t xml:space="preserve">  Being that this would not be the only </w:t>
      </w:r>
      <w:r w:rsidR="001313A2">
        <w:rPr>
          <w:rFonts w:ascii="Times New Roman" w:hAnsi="Times New Roman" w:cs="Times New Roman"/>
        </w:rPr>
        <w:t>legal system available, its primary purpose would be reconciliation, individual victims would choose to opt-in,</w:t>
      </w:r>
      <w:r w:rsidR="009A7E90">
        <w:rPr>
          <w:rFonts w:ascii="Times New Roman" w:hAnsi="Times New Roman" w:cs="Times New Roman"/>
        </w:rPr>
        <w:t xml:space="preserve"> and the procedures have the capacity to evolve as the state and international community see fit,</w:t>
      </w:r>
      <w:r w:rsidR="001313A2">
        <w:rPr>
          <w:rFonts w:ascii="Times New Roman" w:hAnsi="Times New Roman" w:cs="Times New Roman"/>
        </w:rPr>
        <w:t xml:space="preserve"> Nader and Grande’s concerns are not particularly relevant.  However, these are factors that do need to be reevaluated on a regular basis to make sure the mechanism is not being abused by the state, the international community, or other entities.</w:t>
      </w:r>
    </w:p>
    <w:p w14:paraId="1B41DBBE" w14:textId="29DAE58E" w:rsidR="003360E2" w:rsidRPr="001313A2" w:rsidRDefault="001313A2" w:rsidP="006009D2">
      <w:pPr>
        <w:widowControl w:val="0"/>
        <w:autoSpaceDE w:val="0"/>
        <w:autoSpaceDN w:val="0"/>
        <w:adjustRightInd w:val="0"/>
        <w:spacing w:after="240"/>
        <w:ind w:firstLine="720"/>
        <w:contextualSpacing/>
        <w:jc w:val="both"/>
        <w:rPr>
          <w:rFonts w:ascii="Times New Roman" w:hAnsi="Times New Roman" w:cs="Times New Roman"/>
        </w:rPr>
      </w:pPr>
      <w:r>
        <w:rPr>
          <w:rFonts w:ascii="Times New Roman" w:hAnsi="Times New Roman" w:cs="Times New Roman"/>
        </w:rPr>
        <w:t xml:space="preserve">Both the international community and atrocity prevention </w:t>
      </w:r>
      <w:r>
        <w:rPr>
          <w:rFonts w:ascii="Times New Roman" w:hAnsi="Times New Roman" w:cs="Times New Roman"/>
        </w:rPr>
        <w:lastRenderedPageBreak/>
        <w:t xml:space="preserve">scholars have considered mediation as a viable option for combating atrocities.  The </w:t>
      </w:r>
      <w:r w:rsidR="00607BBD">
        <w:rPr>
          <w:rFonts w:ascii="Times New Roman" w:hAnsi="Times New Roman" w:cs="Times New Roman"/>
        </w:rPr>
        <w:t>U.N.</w:t>
      </w:r>
      <w:r>
        <w:rPr>
          <w:rFonts w:ascii="Times New Roman" w:hAnsi="Times New Roman" w:cs="Times New Roman"/>
        </w:rPr>
        <w:t xml:space="preserve"> recently created a Mediation Support Unit, which now functions as part of its Peacekeeping Department.</w:t>
      </w:r>
      <w:r w:rsidR="009A7E90">
        <w:rPr>
          <w:rStyle w:val="FootnoteReference"/>
          <w:rFonts w:ascii="Times New Roman" w:hAnsi="Times New Roman" w:cs="Times New Roman"/>
        </w:rPr>
        <w:footnoteReference w:id="234"/>
      </w:r>
      <w:r w:rsidR="00774DAE">
        <w:rPr>
          <w:rFonts w:ascii="Times New Roman" w:hAnsi="Times New Roman" w:cs="Times New Roman"/>
        </w:rPr>
        <w:t xml:space="preserve">  </w:t>
      </w:r>
      <w:r>
        <w:rPr>
          <w:rFonts w:ascii="Times New Roman" w:hAnsi="Times New Roman" w:cs="Times New Roman"/>
        </w:rPr>
        <w:t xml:space="preserve">James Waller also proposes mediation as a potentially useful preventative method in his book, </w:t>
      </w:r>
      <w:r w:rsidR="00E43B3E" w:rsidRPr="00F132B2">
        <w:rPr>
          <w:rFonts w:ascii="Times New Roman" w:hAnsi="Times New Roman" w:cs="Times New Roman"/>
          <w:i/>
          <w:iCs/>
        </w:rPr>
        <w:t>Confronting Evil: Engaging Our Responsibility to Prevent Genocide</w:t>
      </w:r>
      <w:r w:rsidR="00E43B3E">
        <w:rPr>
          <w:rFonts w:ascii="Times New Roman" w:hAnsi="Times New Roman" w:cs="Times New Roman"/>
        </w:rPr>
        <w:t>.</w:t>
      </w:r>
      <w:r w:rsidR="007D10E7">
        <w:rPr>
          <w:rStyle w:val="FootnoteReference"/>
          <w:rFonts w:ascii="Times New Roman" w:hAnsi="Times New Roman" w:cs="Times New Roman"/>
        </w:rPr>
        <w:footnoteReference w:id="235"/>
      </w:r>
      <w:r w:rsidR="00B7251D">
        <w:rPr>
          <w:rFonts w:ascii="Times New Roman" w:hAnsi="Times New Roman" w:cs="Times New Roman"/>
        </w:rPr>
        <w:t xml:space="preserve"> </w:t>
      </w:r>
      <w:r w:rsidR="00E43B3E">
        <w:rPr>
          <w:rFonts w:ascii="Times New Roman" w:hAnsi="Times New Roman" w:cs="Times New Roman"/>
        </w:rPr>
        <w:t xml:space="preserve"> </w:t>
      </w:r>
      <w:r w:rsidR="003360E2">
        <w:rPr>
          <w:rFonts w:ascii="Times New Roman" w:hAnsi="Times New Roman" w:cs="Times New Roman"/>
        </w:rPr>
        <w:t xml:space="preserve">However, what this Note seeks to propose is something new—a standardized </w:t>
      </w:r>
      <w:r w:rsidR="009A7E90">
        <w:rPr>
          <w:rFonts w:ascii="Times New Roman" w:hAnsi="Times New Roman" w:cs="Times New Roman"/>
        </w:rPr>
        <w:t xml:space="preserve">international </w:t>
      </w:r>
      <w:r w:rsidR="003360E2">
        <w:rPr>
          <w:rFonts w:ascii="Times New Roman" w:hAnsi="Times New Roman" w:cs="Times New Roman"/>
        </w:rPr>
        <w:t xml:space="preserve">system of mediation as a mechanism for early intervention. </w:t>
      </w:r>
    </w:p>
    <w:p w14:paraId="33415BAD" w14:textId="77777777" w:rsidR="00EE48D9" w:rsidRDefault="00EE48D9" w:rsidP="006009D2">
      <w:pPr>
        <w:widowControl w:val="0"/>
        <w:autoSpaceDE w:val="0"/>
        <w:autoSpaceDN w:val="0"/>
        <w:adjustRightInd w:val="0"/>
        <w:jc w:val="both"/>
        <w:rPr>
          <w:rFonts w:ascii="Times New Roman" w:hAnsi="Times New Roman" w:cs="Times New Roman"/>
        </w:rPr>
      </w:pPr>
    </w:p>
    <w:p w14:paraId="120CB8ED" w14:textId="21AE9D47" w:rsidR="00EE48D9" w:rsidRPr="00AB6113" w:rsidRDefault="00987C06" w:rsidP="00AB6113">
      <w:pPr>
        <w:widowControl w:val="0"/>
        <w:autoSpaceDE w:val="0"/>
        <w:autoSpaceDN w:val="0"/>
        <w:adjustRightInd w:val="0"/>
        <w:jc w:val="center"/>
        <w:rPr>
          <w:rFonts w:ascii="Times New Roman" w:hAnsi="Times New Roman" w:cs="Times New Roman"/>
          <w:i/>
          <w:iCs/>
        </w:rPr>
      </w:pPr>
      <w:r w:rsidRPr="00AB6113">
        <w:rPr>
          <w:rFonts w:ascii="Times New Roman" w:hAnsi="Times New Roman" w:cs="Times New Roman"/>
          <w:iCs/>
        </w:rPr>
        <w:t xml:space="preserve">B.  </w:t>
      </w:r>
      <w:r w:rsidR="00EE48D9" w:rsidRPr="00AB6113">
        <w:rPr>
          <w:rFonts w:ascii="Times New Roman" w:hAnsi="Times New Roman" w:cs="Times New Roman"/>
          <w:i/>
          <w:iCs/>
        </w:rPr>
        <w:t xml:space="preserve">Structure of the </w:t>
      </w:r>
      <w:r w:rsidR="00B7251D" w:rsidRPr="00AB6113">
        <w:rPr>
          <w:rFonts w:ascii="Times New Roman" w:hAnsi="Times New Roman" w:cs="Times New Roman"/>
          <w:i/>
          <w:iCs/>
        </w:rPr>
        <w:t>Mechanism</w:t>
      </w:r>
    </w:p>
    <w:p w14:paraId="6D66D2B0" w14:textId="77777777" w:rsidR="00EE48D9" w:rsidRPr="00AB6113" w:rsidRDefault="00EE48D9" w:rsidP="00AB6113">
      <w:pPr>
        <w:widowControl w:val="0"/>
        <w:autoSpaceDE w:val="0"/>
        <w:autoSpaceDN w:val="0"/>
        <w:adjustRightInd w:val="0"/>
        <w:rPr>
          <w:rFonts w:ascii="Times New Roman" w:hAnsi="Times New Roman" w:cs="Times New Roman"/>
        </w:rPr>
      </w:pPr>
    </w:p>
    <w:p w14:paraId="7FD69DE0" w14:textId="5655BF70" w:rsidR="00857B8D" w:rsidRDefault="00D93430" w:rsidP="006009D2">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 xml:space="preserve"> </w:t>
      </w:r>
      <w:r w:rsidR="008252B2" w:rsidRPr="008252B2">
        <w:rPr>
          <w:rFonts w:ascii="Times New Roman" w:hAnsi="Times New Roman" w:cs="Times New Roman"/>
        </w:rPr>
        <w:t xml:space="preserve">The international community should </w:t>
      </w:r>
      <w:r w:rsidR="008252B2">
        <w:rPr>
          <w:rFonts w:ascii="Times New Roman" w:hAnsi="Times New Roman" w:cs="Times New Roman"/>
        </w:rPr>
        <w:t xml:space="preserve">establish a mechanism </w:t>
      </w:r>
      <w:r w:rsidR="00CD1588">
        <w:rPr>
          <w:rFonts w:ascii="Times New Roman" w:hAnsi="Times New Roman" w:cs="Times New Roman"/>
        </w:rPr>
        <w:t>that would enable</w:t>
      </w:r>
      <w:r w:rsidR="008252B2">
        <w:rPr>
          <w:rFonts w:ascii="Times New Roman" w:hAnsi="Times New Roman" w:cs="Times New Roman"/>
        </w:rPr>
        <w:t xml:space="preserve"> states</w:t>
      </w:r>
      <w:r w:rsidR="00CD1588">
        <w:rPr>
          <w:rFonts w:ascii="Times New Roman" w:hAnsi="Times New Roman" w:cs="Times New Roman"/>
        </w:rPr>
        <w:t xml:space="preserve"> to</w:t>
      </w:r>
      <w:r w:rsidR="008252B2">
        <w:rPr>
          <w:rFonts w:ascii="Times New Roman" w:hAnsi="Times New Roman" w:cs="Times New Roman"/>
        </w:rPr>
        <w:t xml:space="preserve"> set up customized ADR systems and bodies designed to reconcile any issues that arise under Ris</w:t>
      </w:r>
      <w:r>
        <w:rPr>
          <w:rFonts w:ascii="Times New Roman" w:hAnsi="Times New Roman" w:cs="Times New Roman"/>
        </w:rPr>
        <w:t xml:space="preserve">k Factor 7 of the </w:t>
      </w:r>
      <w:r w:rsidR="00607BBD">
        <w:rPr>
          <w:rFonts w:ascii="Times New Roman" w:hAnsi="Times New Roman" w:cs="Times New Roman"/>
        </w:rPr>
        <w:t>U.N.</w:t>
      </w:r>
      <w:r>
        <w:rPr>
          <w:rFonts w:ascii="Times New Roman" w:hAnsi="Times New Roman" w:cs="Times New Roman"/>
        </w:rPr>
        <w:t xml:space="preserve"> Framework</w:t>
      </w:r>
      <w:r w:rsidR="002577BE">
        <w:rPr>
          <w:rFonts w:ascii="Times New Roman" w:hAnsi="Times New Roman" w:cs="Times New Roman"/>
        </w:rPr>
        <w:t xml:space="preserve"> of Analysis</w:t>
      </w:r>
      <w:r>
        <w:rPr>
          <w:rFonts w:ascii="Times New Roman" w:hAnsi="Times New Roman" w:cs="Times New Roman"/>
        </w:rPr>
        <w:t xml:space="preserve">.  </w:t>
      </w:r>
      <w:r w:rsidR="006C733C">
        <w:rPr>
          <w:rFonts w:ascii="Times New Roman" w:hAnsi="Times New Roman" w:cs="Times New Roman"/>
        </w:rPr>
        <w:t>These</w:t>
      </w:r>
      <w:r w:rsidR="009A7E90">
        <w:rPr>
          <w:rFonts w:ascii="Times New Roman" w:hAnsi="Times New Roman" w:cs="Times New Roman"/>
        </w:rPr>
        <w:t xml:space="preserve"> systems</w:t>
      </w:r>
      <w:r w:rsidR="008252B2">
        <w:rPr>
          <w:rFonts w:ascii="Times New Roman" w:hAnsi="Times New Roman" w:cs="Times New Roman"/>
        </w:rPr>
        <w:t xml:space="preserve"> will allow for local ownership</w:t>
      </w:r>
      <w:r w:rsidR="00CD1588">
        <w:rPr>
          <w:rStyle w:val="FootnoteReference"/>
          <w:rFonts w:ascii="Times New Roman" w:hAnsi="Times New Roman" w:cs="Times New Roman"/>
        </w:rPr>
        <w:footnoteReference w:id="236"/>
      </w:r>
      <w:r w:rsidR="00507BCA">
        <w:rPr>
          <w:rFonts w:ascii="Times New Roman" w:hAnsi="Times New Roman" w:cs="Times New Roman"/>
        </w:rPr>
        <w:t>—</w:t>
      </w:r>
      <w:r w:rsidR="006C733C">
        <w:rPr>
          <w:rFonts w:ascii="Times New Roman" w:hAnsi="Times New Roman" w:cs="Times New Roman"/>
        </w:rPr>
        <w:t xml:space="preserve">they </w:t>
      </w:r>
      <w:r w:rsidR="005F20E8">
        <w:rPr>
          <w:rFonts w:ascii="Times New Roman" w:hAnsi="Times New Roman" w:cs="Times New Roman"/>
        </w:rPr>
        <w:t>will be designed by the state</w:t>
      </w:r>
      <w:r w:rsidR="006C733C">
        <w:rPr>
          <w:rFonts w:ascii="Times New Roman" w:hAnsi="Times New Roman" w:cs="Times New Roman"/>
        </w:rPr>
        <w:t>s</w:t>
      </w:r>
      <w:r w:rsidR="005F20E8">
        <w:rPr>
          <w:rFonts w:ascii="Times New Roman" w:hAnsi="Times New Roman" w:cs="Times New Roman"/>
        </w:rPr>
        <w:t xml:space="preserve"> and members of civil society, and </w:t>
      </w:r>
      <w:r w:rsidR="008252B2">
        <w:rPr>
          <w:rFonts w:ascii="Times New Roman" w:hAnsi="Times New Roman" w:cs="Times New Roman"/>
        </w:rPr>
        <w:t xml:space="preserve">customs and social norms </w:t>
      </w:r>
      <w:r w:rsidR="006C733C">
        <w:rPr>
          <w:rFonts w:ascii="Times New Roman" w:hAnsi="Times New Roman" w:cs="Times New Roman"/>
        </w:rPr>
        <w:t>of each</w:t>
      </w:r>
      <w:r w:rsidR="008252B2">
        <w:rPr>
          <w:rFonts w:ascii="Times New Roman" w:hAnsi="Times New Roman" w:cs="Times New Roman"/>
        </w:rPr>
        <w:t xml:space="preserve"> state will play a role in how the ADR system fu</w:t>
      </w:r>
      <w:r>
        <w:rPr>
          <w:rFonts w:ascii="Times New Roman" w:hAnsi="Times New Roman" w:cs="Times New Roman"/>
        </w:rPr>
        <w:t>nctions</w:t>
      </w:r>
      <w:r w:rsidR="00EE48D9">
        <w:rPr>
          <w:rFonts w:ascii="Times New Roman" w:hAnsi="Times New Roman" w:cs="Times New Roman"/>
        </w:rPr>
        <w:t>.</w:t>
      </w:r>
      <w:r>
        <w:rPr>
          <w:rFonts w:ascii="Times New Roman" w:hAnsi="Times New Roman" w:cs="Times New Roman"/>
        </w:rPr>
        <w:t xml:space="preserve"> </w:t>
      </w:r>
      <w:r w:rsidR="00EE48D9">
        <w:rPr>
          <w:rFonts w:ascii="Times New Roman" w:hAnsi="Times New Roman" w:cs="Times New Roman"/>
        </w:rPr>
        <w:t xml:space="preserve"> </w:t>
      </w:r>
      <w:r w:rsidR="0023716F">
        <w:rPr>
          <w:rFonts w:ascii="Times New Roman" w:hAnsi="Times New Roman" w:cs="Times New Roman"/>
        </w:rPr>
        <w:t>However, assistance can, and should,</w:t>
      </w:r>
      <w:r w:rsidR="008252B2">
        <w:rPr>
          <w:rFonts w:ascii="Times New Roman" w:hAnsi="Times New Roman" w:cs="Times New Roman"/>
        </w:rPr>
        <w:t xml:space="preserve"> also be provided by the i</w:t>
      </w:r>
      <w:r w:rsidR="009433C5">
        <w:rPr>
          <w:rFonts w:ascii="Times New Roman" w:hAnsi="Times New Roman" w:cs="Times New Roman"/>
        </w:rPr>
        <w:t>nternational community on an as-</w:t>
      </w:r>
      <w:r w:rsidR="008252B2">
        <w:rPr>
          <w:rFonts w:ascii="Times New Roman" w:hAnsi="Times New Roman" w:cs="Times New Roman"/>
        </w:rPr>
        <w:t>needed b</w:t>
      </w:r>
      <w:r w:rsidR="00390089">
        <w:rPr>
          <w:rFonts w:ascii="Times New Roman" w:hAnsi="Times New Roman" w:cs="Times New Roman"/>
        </w:rPr>
        <w:t xml:space="preserve">asis, as states in volatile situations tend to lack capacity for structural changes. </w:t>
      </w:r>
      <w:r w:rsidR="008252B2">
        <w:rPr>
          <w:rFonts w:ascii="Times New Roman" w:hAnsi="Times New Roman" w:cs="Times New Roman"/>
        </w:rPr>
        <w:t xml:space="preserve"> </w:t>
      </w:r>
    </w:p>
    <w:p w14:paraId="74FFFE1C" w14:textId="646C0277" w:rsidR="008252B2" w:rsidRDefault="007B4EC9" w:rsidP="006009D2">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There will be a multi-</w:t>
      </w:r>
      <w:r w:rsidR="008252B2">
        <w:rPr>
          <w:rFonts w:ascii="Times New Roman" w:hAnsi="Times New Roman" w:cs="Times New Roman"/>
        </w:rPr>
        <w:t>national monitoring and compliance body</w:t>
      </w:r>
      <w:r w:rsidR="00CD1588">
        <w:rPr>
          <w:rStyle w:val="FootnoteReference"/>
          <w:rFonts w:ascii="Times New Roman" w:hAnsi="Times New Roman" w:cs="Times New Roman"/>
        </w:rPr>
        <w:footnoteReference w:id="237"/>
      </w:r>
      <w:r w:rsidR="008252B2">
        <w:rPr>
          <w:rFonts w:ascii="Times New Roman" w:hAnsi="Times New Roman" w:cs="Times New Roman"/>
        </w:rPr>
        <w:t xml:space="preserve"> that will determine when it is necessary for a </w:t>
      </w:r>
      <w:r w:rsidR="00D93430">
        <w:rPr>
          <w:rFonts w:ascii="Times New Roman" w:hAnsi="Times New Roman" w:cs="Times New Roman"/>
        </w:rPr>
        <w:t>state to employ its ADR system.</w:t>
      </w:r>
      <w:r w:rsidR="003F777E">
        <w:rPr>
          <w:rFonts w:ascii="Times New Roman" w:hAnsi="Times New Roman" w:cs="Times New Roman"/>
        </w:rPr>
        <w:t xml:space="preserve">  </w:t>
      </w:r>
      <w:r w:rsidR="001B2559">
        <w:rPr>
          <w:rFonts w:ascii="Times New Roman" w:hAnsi="Times New Roman" w:cs="Times New Roman"/>
        </w:rPr>
        <w:t xml:space="preserve">This monitoring body will consist of </w:t>
      </w:r>
      <w:r w:rsidR="003F777E">
        <w:rPr>
          <w:rFonts w:ascii="Times New Roman" w:hAnsi="Times New Roman" w:cs="Times New Roman"/>
        </w:rPr>
        <w:t xml:space="preserve">a panel of experts in atrocity prevention.  Ideally, the individuals on </w:t>
      </w:r>
      <w:r w:rsidR="00995083">
        <w:rPr>
          <w:rFonts w:ascii="Times New Roman" w:hAnsi="Times New Roman" w:cs="Times New Roman"/>
        </w:rPr>
        <w:t xml:space="preserve">the </w:t>
      </w:r>
      <w:r w:rsidR="003F777E">
        <w:rPr>
          <w:rFonts w:ascii="Times New Roman" w:hAnsi="Times New Roman" w:cs="Times New Roman"/>
        </w:rPr>
        <w:t>panel will come from a variety of cultural backgrounds, so as to better understand the idiosyncrasies of the states that they are observing.</w:t>
      </w:r>
      <w:r w:rsidR="00995083">
        <w:rPr>
          <w:rStyle w:val="FootnoteReference"/>
          <w:rFonts w:ascii="Times New Roman" w:hAnsi="Times New Roman" w:cs="Times New Roman"/>
        </w:rPr>
        <w:footnoteReference w:id="238"/>
      </w:r>
      <w:r w:rsidR="003F777E">
        <w:rPr>
          <w:rFonts w:ascii="Times New Roman" w:hAnsi="Times New Roman" w:cs="Times New Roman"/>
        </w:rPr>
        <w:t xml:space="preserve"> </w:t>
      </w:r>
      <w:r w:rsidR="00B7251D">
        <w:rPr>
          <w:rFonts w:ascii="Times New Roman" w:hAnsi="Times New Roman" w:cs="Times New Roman"/>
        </w:rPr>
        <w:t xml:space="preserve"> </w:t>
      </w:r>
      <w:r w:rsidR="008252B2">
        <w:rPr>
          <w:rFonts w:ascii="Times New Roman" w:hAnsi="Times New Roman" w:cs="Times New Roman"/>
        </w:rPr>
        <w:t xml:space="preserve">Once the monitoring body has determined that a </w:t>
      </w:r>
      <w:r w:rsidR="008252B2">
        <w:rPr>
          <w:rFonts w:ascii="Times New Roman" w:hAnsi="Times New Roman" w:cs="Times New Roman"/>
        </w:rPr>
        <w:lastRenderedPageBreak/>
        <w:t>state is at risk for the perpetration of atrocities</w:t>
      </w:r>
      <w:r w:rsidR="00B25858">
        <w:rPr>
          <w:rFonts w:ascii="Times New Roman" w:hAnsi="Times New Roman" w:cs="Times New Roman"/>
        </w:rPr>
        <w:t xml:space="preserve"> under the </w:t>
      </w:r>
      <w:r w:rsidR="00607BBD">
        <w:rPr>
          <w:rFonts w:ascii="Times New Roman" w:hAnsi="Times New Roman" w:cs="Times New Roman"/>
        </w:rPr>
        <w:t>U.N.</w:t>
      </w:r>
      <w:r w:rsidR="00B25858">
        <w:rPr>
          <w:rFonts w:ascii="Times New Roman" w:hAnsi="Times New Roman" w:cs="Times New Roman"/>
        </w:rPr>
        <w:t xml:space="preserve"> Framework</w:t>
      </w:r>
      <w:r w:rsidR="002577BE">
        <w:rPr>
          <w:rFonts w:ascii="Times New Roman" w:hAnsi="Times New Roman" w:cs="Times New Roman"/>
        </w:rPr>
        <w:t xml:space="preserve"> of Analysis</w:t>
      </w:r>
      <w:r w:rsidR="008252B2">
        <w:rPr>
          <w:rFonts w:ascii="Times New Roman" w:hAnsi="Times New Roman" w:cs="Times New Roman"/>
        </w:rPr>
        <w:t>,</w:t>
      </w:r>
      <w:r w:rsidR="007D3C64">
        <w:rPr>
          <w:rStyle w:val="FootnoteReference"/>
          <w:rFonts w:ascii="Times New Roman" w:hAnsi="Times New Roman" w:cs="Times New Roman"/>
        </w:rPr>
        <w:footnoteReference w:id="239"/>
      </w:r>
      <w:r w:rsidR="008252B2">
        <w:rPr>
          <w:rFonts w:ascii="Times New Roman" w:hAnsi="Times New Roman" w:cs="Times New Roman"/>
        </w:rPr>
        <w:t xml:space="preserve"> the state will be obligated to use their established ADR system under the first pillar of R2P.</w:t>
      </w:r>
      <w:r w:rsidR="00BC6F87">
        <w:rPr>
          <w:rStyle w:val="FootnoteReference"/>
          <w:rFonts w:ascii="Times New Roman" w:hAnsi="Times New Roman" w:cs="Times New Roman"/>
        </w:rPr>
        <w:footnoteReference w:id="240"/>
      </w:r>
      <w:r w:rsidR="00D93430">
        <w:rPr>
          <w:rFonts w:ascii="Times New Roman" w:hAnsi="Times New Roman" w:cs="Times New Roman"/>
        </w:rPr>
        <w:t xml:space="preserve">  </w:t>
      </w:r>
      <w:r w:rsidR="008252B2">
        <w:rPr>
          <w:rFonts w:ascii="Times New Roman" w:hAnsi="Times New Roman" w:cs="Times New Roman"/>
        </w:rPr>
        <w:t>Should they require assistance, it will be provided as per the second pillar of R2P.</w:t>
      </w:r>
      <w:r w:rsidR="00BA3424">
        <w:rPr>
          <w:rStyle w:val="FootnoteReference"/>
          <w:rFonts w:ascii="Times New Roman" w:hAnsi="Times New Roman" w:cs="Times New Roman"/>
        </w:rPr>
        <w:footnoteReference w:id="241"/>
      </w:r>
      <w:r w:rsidR="00D93430">
        <w:rPr>
          <w:rFonts w:ascii="Times New Roman" w:hAnsi="Times New Roman" w:cs="Times New Roman"/>
        </w:rPr>
        <w:t xml:space="preserve">  </w:t>
      </w:r>
      <w:r w:rsidR="008252B2">
        <w:rPr>
          <w:rFonts w:ascii="Times New Roman" w:hAnsi="Times New Roman" w:cs="Times New Roman"/>
        </w:rPr>
        <w:t xml:space="preserve">And, pursuant to the third pillar of R2P, if a state should fail to engage their ADR system, an international reconciliation team will be sent in. </w:t>
      </w:r>
      <w:r w:rsidR="009C704A">
        <w:rPr>
          <w:rFonts w:ascii="Times New Roman" w:hAnsi="Times New Roman" w:cs="Times New Roman"/>
        </w:rPr>
        <w:t xml:space="preserve"> </w:t>
      </w:r>
      <w:r w:rsidR="008252B2">
        <w:rPr>
          <w:rFonts w:ascii="Times New Roman" w:hAnsi="Times New Roman" w:cs="Times New Roman"/>
        </w:rPr>
        <w:t>Should all forms of ADR fail, the state will face further action (i.e. sanctions,</w:t>
      </w:r>
      <w:r w:rsidR="00A94E1B">
        <w:rPr>
          <w:rFonts w:ascii="Times New Roman" w:hAnsi="Times New Roman" w:cs="Times New Roman"/>
        </w:rPr>
        <w:t xml:space="preserve"> criminal prosecutions, </w:t>
      </w:r>
      <w:r w:rsidR="008252B2">
        <w:rPr>
          <w:rFonts w:ascii="Times New Roman" w:hAnsi="Times New Roman" w:cs="Times New Roman"/>
        </w:rPr>
        <w:t xml:space="preserve">use of force, etc.) under existing </w:t>
      </w:r>
      <w:r w:rsidR="00607BBD">
        <w:rPr>
          <w:rFonts w:ascii="Times New Roman" w:hAnsi="Times New Roman" w:cs="Times New Roman"/>
        </w:rPr>
        <w:t>U.N.</w:t>
      </w:r>
      <w:r w:rsidR="008252B2">
        <w:rPr>
          <w:rFonts w:ascii="Times New Roman" w:hAnsi="Times New Roman" w:cs="Times New Roman"/>
        </w:rPr>
        <w:t xml:space="preserve"> doctrine.</w:t>
      </w:r>
      <w:r w:rsidR="00BA3424">
        <w:rPr>
          <w:rStyle w:val="FootnoteReference"/>
          <w:rFonts w:ascii="Times New Roman" w:hAnsi="Times New Roman" w:cs="Times New Roman"/>
        </w:rPr>
        <w:footnoteReference w:id="242"/>
      </w:r>
      <w:r w:rsidR="008252B2">
        <w:rPr>
          <w:rFonts w:ascii="Times New Roman" w:hAnsi="Times New Roman" w:cs="Times New Roman"/>
        </w:rPr>
        <w:t xml:space="preserve"> </w:t>
      </w:r>
    </w:p>
    <w:p w14:paraId="1CAD97C9" w14:textId="77777777" w:rsidR="00EE48D9" w:rsidRDefault="00EE48D9" w:rsidP="00AB6113">
      <w:pPr>
        <w:widowControl w:val="0"/>
        <w:autoSpaceDE w:val="0"/>
        <w:autoSpaceDN w:val="0"/>
        <w:adjustRightInd w:val="0"/>
        <w:jc w:val="both"/>
        <w:rPr>
          <w:rFonts w:ascii="Times New Roman" w:hAnsi="Times New Roman" w:cs="Times New Roman"/>
        </w:rPr>
      </w:pPr>
    </w:p>
    <w:p w14:paraId="4AA4B896" w14:textId="6BFEE063" w:rsidR="00EE48D9" w:rsidRPr="00AB6113" w:rsidRDefault="00987C06" w:rsidP="00AB6113">
      <w:pPr>
        <w:widowControl w:val="0"/>
        <w:autoSpaceDE w:val="0"/>
        <w:autoSpaceDN w:val="0"/>
        <w:adjustRightInd w:val="0"/>
        <w:jc w:val="center"/>
        <w:rPr>
          <w:rFonts w:ascii="Times New Roman" w:hAnsi="Times New Roman" w:cs="Times New Roman"/>
          <w:i/>
          <w:iCs/>
        </w:rPr>
      </w:pPr>
      <w:r w:rsidRPr="00AB6113">
        <w:rPr>
          <w:rFonts w:ascii="Times New Roman" w:hAnsi="Times New Roman" w:cs="Times New Roman"/>
          <w:iCs/>
        </w:rPr>
        <w:t xml:space="preserve">C.  </w:t>
      </w:r>
      <w:r w:rsidR="00EE48D9" w:rsidRPr="00AB6113">
        <w:rPr>
          <w:rFonts w:ascii="Times New Roman" w:hAnsi="Times New Roman" w:cs="Times New Roman"/>
          <w:i/>
          <w:iCs/>
        </w:rPr>
        <w:t xml:space="preserve">Factors </w:t>
      </w:r>
      <w:r w:rsidR="009C704A" w:rsidRPr="00AB6113">
        <w:rPr>
          <w:rFonts w:ascii="Times New Roman" w:hAnsi="Times New Roman" w:cs="Times New Roman"/>
          <w:i/>
          <w:iCs/>
        </w:rPr>
        <w:t>T</w:t>
      </w:r>
      <w:r w:rsidR="00EE48D9" w:rsidRPr="00AB6113">
        <w:rPr>
          <w:rFonts w:ascii="Times New Roman" w:hAnsi="Times New Roman" w:cs="Times New Roman"/>
          <w:i/>
          <w:iCs/>
        </w:rPr>
        <w:t xml:space="preserve">hat </w:t>
      </w:r>
      <w:proofErr w:type="gramStart"/>
      <w:r w:rsidR="009C704A" w:rsidRPr="00AB6113">
        <w:rPr>
          <w:rFonts w:ascii="Times New Roman" w:hAnsi="Times New Roman" w:cs="Times New Roman"/>
          <w:i/>
          <w:iCs/>
        </w:rPr>
        <w:t>S</w:t>
      </w:r>
      <w:r w:rsidR="00EE48D9" w:rsidRPr="00AB6113">
        <w:rPr>
          <w:rFonts w:ascii="Times New Roman" w:hAnsi="Times New Roman" w:cs="Times New Roman"/>
          <w:i/>
          <w:iCs/>
        </w:rPr>
        <w:t>hould</w:t>
      </w:r>
      <w:proofErr w:type="gramEnd"/>
      <w:r w:rsidR="00EE48D9" w:rsidRPr="00AB6113">
        <w:rPr>
          <w:rFonts w:ascii="Times New Roman" w:hAnsi="Times New Roman" w:cs="Times New Roman"/>
          <w:i/>
          <w:iCs/>
        </w:rPr>
        <w:t xml:space="preserve"> be </w:t>
      </w:r>
      <w:r w:rsidR="009C704A" w:rsidRPr="00AB6113">
        <w:rPr>
          <w:rFonts w:ascii="Times New Roman" w:hAnsi="Times New Roman" w:cs="Times New Roman"/>
          <w:i/>
          <w:iCs/>
        </w:rPr>
        <w:t>T</w:t>
      </w:r>
      <w:r w:rsidR="00EE48D9" w:rsidRPr="00AB6113">
        <w:rPr>
          <w:rFonts w:ascii="Times New Roman" w:hAnsi="Times New Roman" w:cs="Times New Roman"/>
          <w:i/>
          <w:iCs/>
        </w:rPr>
        <w:t xml:space="preserve">aken </w:t>
      </w:r>
      <w:r w:rsidR="009C704A" w:rsidRPr="00AB6113">
        <w:rPr>
          <w:rFonts w:ascii="Times New Roman" w:hAnsi="Times New Roman" w:cs="Times New Roman"/>
          <w:i/>
          <w:iCs/>
        </w:rPr>
        <w:t>I</w:t>
      </w:r>
      <w:r w:rsidR="00EE48D9" w:rsidRPr="00AB6113">
        <w:rPr>
          <w:rFonts w:ascii="Times New Roman" w:hAnsi="Times New Roman" w:cs="Times New Roman"/>
          <w:i/>
          <w:iCs/>
        </w:rPr>
        <w:t xml:space="preserve">nto </w:t>
      </w:r>
      <w:r w:rsidR="009C704A" w:rsidRPr="00AB6113">
        <w:rPr>
          <w:rFonts w:ascii="Times New Roman" w:hAnsi="Times New Roman" w:cs="Times New Roman"/>
          <w:i/>
          <w:iCs/>
        </w:rPr>
        <w:t>C</w:t>
      </w:r>
      <w:r w:rsidR="00EE48D9" w:rsidRPr="00AB6113">
        <w:rPr>
          <w:rFonts w:ascii="Times New Roman" w:hAnsi="Times New Roman" w:cs="Times New Roman"/>
          <w:i/>
          <w:iCs/>
        </w:rPr>
        <w:t xml:space="preserve">onsideration in the </w:t>
      </w:r>
      <w:r w:rsidR="009C704A" w:rsidRPr="00AB6113">
        <w:rPr>
          <w:rFonts w:ascii="Times New Roman" w:hAnsi="Times New Roman" w:cs="Times New Roman"/>
          <w:i/>
          <w:iCs/>
        </w:rPr>
        <w:t>D</w:t>
      </w:r>
      <w:r w:rsidR="00EE48D9" w:rsidRPr="00AB6113">
        <w:rPr>
          <w:rFonts w:ascii="Times New Roman" w:hAnsi="Times New Roman" w:cs="Times New Roman"/>
          <w:i/>
          <w:iCs/>
        </w:rPr>
        <w:t xml:space="preserve">evelopment of </w:t>
      </w:r>
      <w:r w:rsidR="009C704A" w:rsidRPr="00AB6113">
        <w:rPr>
          <w:rFonts w:ascii="Times New Roman" w:hAnsi="Times New Roman" w:cs="Times New Roman"/>
          <w:i/>
          <w:iCs/>
        </w:rPr>
        <w:t>E</w:t>
      </w:r>
      <w:r w:rsidR="00EE48D9" w:rsidRPr="00AB6113">
        <w:rPr>
          <w:rFonts w:ascii="Times New Roman" w:hAnsi="Times New Roman" w:cs="Times New Roman"/>
          <w:i/>
          <w:iCs/>
        </w:rPr>
        <w:t xml:space="preserve">ach </w:t>
      </w:r>
      <w:r w:rsidR="009C704A" w:rsidRPr="00AB6113">
        <w:rPr>
          <w:rFonts w:ascii="Times New Roman" w:hAnsi="Times New Roman" w:cs="Times New Roman"/>
          <w:i/>
          <w:iCs/>
        </w:rPr>
        <w:t>S</w:t>
      </w:r>
      <w:r w:rsidR="00EE48D9" w:rsidRPr="00AB6113">
        <w:rPr>
          <w:rFonts w:ascii="Times New Roman" w:hAnsi="Times New Roman" w:cs="Times New Roman"/>
          <w:i/>
          <w:iCs/>
        </w:rPr>
        <w:t xml:space="preserve">tate’s </w:t>
      </w:r>
      <w:r w:rsidR="009C704A" w:rsidRPr="00AB6113">
        <w:rPr>
          <w:rFonts w:ascii="Times New Roman" w:hAnsi="Times New Roman" w:cs="Times New Roman"/>
          <w:i/>
          <w:iCs/>
        </w:rPr>
        <w:t>M</w:t>
      </w:r>
      <w:r w:rsidR="00EE48D9" w:rsidRPr="00AB6113">
        <w:rPr>
          <w:rFonts w:ascii="Times New Roman" w:hAnsi="Times New Roman" w:cs="Times New Roman"/>
          <w:i/>
          <w:iCs/>
        </w:rPr>
        <w:t>echanism</w:t>
      </w:r>
    </w:p>
    <w:p w14:paraId="3B26A3CA" w14:textId="77777777" w:rsidR="00EE48D9" w:rsidRPr="00AB6113" w:rsidRDefault="00EE48D9" w:rsidP="00AB6113">
      <w:pPr>
        <w:widowControl w:val="0"/>
        <w:autoSpaceDE w:val="0"/>
        <w:autoSpaceDN w:val="0"/>
        <w:adjustRightInd w:val="0"/>
        <w:rPr>
          <w:rFonts w:ascii="Times New Roman" w:hAnsi="Times New Roman" w:cs="Times New Roman"/>
        </w:rPr>
      </w:pPr>
    </w:p>
    <w:p w14:paraId="6AA17A41" w14:textId="18204195" w:rsidR="00EE48D9" w:rsidRDefault="0078226D" w:rsidP="006009D2">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The structure of the ADR mechanism employed will not only vary by state, but will be influenced b</w:t>
      </w:r>
      <w:r w:rsidR="00D93430">
        <w:rPr>
          <w:rFonts w:ascii="Times New Roman" w:hAnsi="Times New Roman" w:cs="Times New Roman"/>
        </w:rPr>
        <w:t xml:space="preserve">y which indicators are present.  </w:t>
      </w:r>
      <w:r>
        <w:rPr>
          <w:rFonts w:ascii="Times New Roman" w:hAnsi="Times New Roman" w:cs="Times New Roman"/>
        </w:rPr>
        <w:t xml:space="preserve">For example, the reconciliation process for the development of militias would look different than the reconciliation process for </w:t>
      </w:r>
      <w:r w:rsidR="00D93430">
        <w:rPr>
          <w:rFonts w:ascii="Times New Roman" w:hAnsi="Times New Roman" w:cs="Times New Roman"/>
        </w:rPr>
        <w:t>the propagation of hate speech.</w:t>
      </w:r>
      <w:r w:rsidR="00517B2E">
        <w:rPr>
          <w:rFonts w:ascii="Times New Roman" w:hAnsi="Times New Roman" w:cs="Times New Roman"/>
        </w:rPr>
        <w:t xml:space="preserve">  </w:t>
      </w:r>
      <w:r w:rsidR="004344C0">
        <w:rPr>
          <w:rFonts w:ascii="Times New Roman" w:hAnsi="Times New Roman" w:cs="Times New Roman"/>
        </w:rPr>
        <w:t xml:space="preserve">This </w:t>
      </w:r>
      <w:r w:rsidR="00340B70">
        <w:rPr>
          <w:rFonts w:ascii="Times New Roman" w:hAnsi="Times New Roman" w:cs="Times New Roman"/>
        </w:rPr>
        <w:t xml:space="preserve">distinction </w:t>
      </w:r>
      <w:r w:rsidR="004344C0">
        <w:rPr>
          <w:rFonts w:ascii="Times New Roman" w:hAnsi="Times New Roman" w:cs="Times New Roman"/>
        </w:rPr>
        <w:t xml:space="preserve">is because </w:t>
      </w:r>
      <w:r w:rsidR="00517B2E">
        <w:rPr>
          <w:rFonts w:ascii="Times New Roman" w:hAnsi="Times New Roman" w:cs="Times New Roman"/>
        </w:rPr>
        <w:t>the mechanisms employed will need to be designed to combat the specific issues</w:t>
      </w:r>
      <w:r w:rsidR="000F4B81">
        <w:rPr>
          <w:rFonts w:ascii="Times New Roman" w:hAnsi="Times New Roman" w:cs="Times New Roman"/>
        </w:rPr>
        <w:t xml:space="preserve"> </w:t>
      </w:r>
      <w:r w:rsidR="00D01C8A">
        <w:rPr>
          <w:rFonts w:ascii="Times New Roman" w:hAnsi="Times New Roman" w:cs="Times New Roman"/>
        </w:rPr>
        <w:t xml:space="preserve">arising under the </w:t>
      </w:r>
      <w:r w:rsidR="00607BBD">
        <w:rPr>
          <w:rFonts w:ascii="Times New Roman" w:hAnsi="Times New Roman" w:cs="Times New Roman"/>
        </w:rPr>
        <w:t>U.N.</w:t>
      </w:r>
      <w:r w:rsidR="00D01C8A">
        <w:rPr>
          <w:rFonts w:ascii="Times New Roman" w:hAnsi="Times New Roman" w:cs="Times New Roman"/>
        </w:rPr>
        <w:t xml:space="preserve"> Framework</w:t>
      </w:r>
      <w:r w:rsidR="002577BE">
        <w:rPr>
          <w:rFonts w:ascii="Times New Roman" w:hAnsi="Times New Roman" w:cs="Times New Roman"/>
        </w:rPr>
        <w:t xml:space="preserve"> of Analysis</w:t>
      </w:r>
      <w:r w:rsidR="00D01C8A">
        <w:rPr>
          <w:rFonts w:ascii="Times New Roman" w:hAnsi="Times New Roman" w:cs="Times New Roman"/>
        </w:rPr>
        <w:t>—</w:t>
      </w:r>
      <w:r w:rsidR="000F4B81">
        <w:rPr>
          <w:rFonts w:ascii="Times New Roman" w:hAnsi="Times New Roman" w:cs="Times New Roman"/>
        </w:rPr>
        <w:t>this</w:t>
      </w:r>
      <w:r w:rsidR="00340B70">
        <w:rPr>
          <w:rFonts w:ascii="Times New Roman" w:hAnsi="Times New Roman" w:cs="Times New Roman"/>
        </w:rPr>
        <w:t xml:space="preserve"> mechanism</w:t>
      </w:r>
      <w:r w:rsidR="000F4B81">
        <w:rPr>
          <w:rFonts w:ascii="Times New Roman" w:hAnsi="Times New Roman" w:cs="Times New Roman"/>
        </w:rPr>
        <w:t xml:space="preserve"> cannot be a one-size-fits-all system.  </w:t>
      </w:r>
      <w:r w:rsidR="00C51829">
        <w:rPr>
          <w:rFonts w:ascii="Times New Roman" w:hAnsi="Times New Roman" w:cs="Times New Roman"/>
        </w:rPr>
        <w:t>In most, if not all cases, an amalgamation of ADR mechanisms may be necessa</w:t>
      </w:r>
      <w:r w:rsidR="00D93430">
        <w:rPr>
          <w:rFonts w:ascii="Times New Roman" w:hAnsi="Times New Roman" w:cs="Times New Roman"/>
        </w:rPr>
        <w:t>ry for an effective transition.</w:t>
      </w:r>
      <w:r w:rsidR="00A549FD">
        <w:rPr>
          <w:rStyle w:val="FootnoteReference"/>
          <w:rFonts w:ascii="Times New Roman" w:hAnsi="Times New Roman" w:cs="Times New Roman"/>
        </w:rPr>
        <w:footnoteReference w:id="243"/>
      </w:r>
      <w:r w:rsidR="00D93430">
        <w:rPr>
          <w:rFonts w:ascii="Times New Roman" w:hAnsi="Times New Roman" w:cs="Times New Roman"/>
        </w:rPr>
        <w:t xml:space="preserve">  </w:t>
      </w:r>
    </w:p>
    <w:p w14:paraId="697DE74D" w14:textId="2969C44A" w:rsidR="00987C06" w:rsidRDefault="00EE48D9" w:rsidP="007D30EA">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 xml:space="preserve">Past experience and local </w:t>
      </w:r>
      <w:r w:rsidR="00340B70">
        <w:rPr>
          <w:rFonts w:ascii="Times New Roman" w:hAnsi="Times New Roman" w:cs="Times New Roman"/>
        </w:rPr>
        <w:t>context and practices</w:t>
      </w:r>
      <w:r>
        <w:rPr>
          <w:rFonts w:ascii="Times New Roman" w:hAnsi="Times New Roman" w:cs="Times New Roman"/>
        </w:rPr>
        <w:t xml:space="preserve"> will inform the specific mechanisms used. This concept of local ownership is a necessary component of transitional justice:</w:t>
      </w:r>
    </w:p>
    <w:p w14:paraId="37917483" w14:textId="5179B595" w:rsidR="00987C06" w:rsidRDefault="00A124A8" w:rsidP="007D30EA">
      <w:pPr>
        <w:widowControl w:val="0"/>
        <w:autoSpaceDE w:val="0"/>
        <w:autoSpaceDN w:val="0"/>
        <w:adjustRightInd w:val="0"/>
        <w:ind w:left="720" w:right="720"/>
        <w:jc w:val="both"/>
        <w:rPr>
          <w:rFonts w:ascii="Times New Roman" w:hAnsi="Times New Roman" w:cs="Times New Roman"/>
        </w:rPr>
      </w:pPr>
      <w:r>
        <w:rPr>
          <w:rFonts w:ascii="Times New Roman" w:hAnsi="Times New Roman" w:cs="Times New Roman"/>
        </w:rPr>
        <w:t>t</w:t>
      </w:r>
      <w:r w:rsidR="00EE48D9" w:rsidRPr="00FF7ACD">
        <w:rPr>
          <w:rFonts w:ascii="Times New Roman" w:hAnsi="Times New Roman" w:cs="Times New Roman"/>
        </w:rPr>
        <w:t>he tendency to exclude local communities as active participants in transitional justice measures is a primary flaw, raising fundamental questions of legitimacy, loca</w:t>
      </w:r>
      <w:r w:rsidR="00EE48D9">
        <w:rPr>
          <w:rFonts w:ascii="Times New Roman" w:hAnsi="Times New Roman" w:cs="Times New Roman"/>
        </w:rPr>
        <w:t xml:space="preserve">l ownership, and participation.  </w:t>
      </w:r>
      <w:r w:rsidR="00EE48D9" w:rsidRPr="00FF7ACD">
        <w:rPr>
          <w:rFonts w:ascii="Times New Roman" w:hAnsi="Times New Roman" w:cs="Times New Roman"/>
        </w:rPr>
        <w:lastRenderedPageBreak/>
        <w:t>Simply involving local people at the implementation stage of t</w:t>
      </w:r>
      <w:r w:rsidR="00EE48D9">
        <w:rPr>
          <w:rFonts w:ascii="Times New Roman" w:hAnsi="Times New Roman" w:cs="Times New Roman"/>
        </w:rPr>
        <w:t xml:space="preserve">hese initiatives is not enough.  </w:t>
      </w:r>
      <w:r w:rsidR="00EE48D9" w:rsidRPr="00FF7ACD">
        <w:rPr>
          <w:rFonts w:ascii="Times New Roman" w:hAnsi="Times New Roman" w:cs="Times New Roman"/>
        </w:rPr>
        <w:t>For a fully participatory process (we will argue) they should also take part at every stage in the process including; conception, design, decision making, and management.</w:t>
      </w:r>
      <w:r w:rsidR="00EE48D9">
        <w:rPr>
          <w:rStyle w:val="FootnoteReference"/>
          <w:rFonts w:ascii="Times New Roman" w:hAnsi="Times New Roman" w:cs="Times New Roman"/>
        </w:rPr>
        <w:footnoteReference w:id="244"/>
      </w:r>
      <w:r w:rsidR="00EE48D9">
        <w:rPr>
          <w:rFonts w:ascii="Times New Roman" w:hAnsi="Times New Roman" w:cs="Times New Roman"/>
        </w:rPr>
        <w:t xml:space="preserve"> </w:t>
      </w:r>
    </w:p>
    <w:p w14:paraId="56B066EE" w14:textId="5D5ED432" w:rsidR="00EE48D9" w:rsidRDefault="00340B70" w:rsidP="006009D2">
      <w:pPr>
        <w:widowControl w:val="0"/>
        <w:autoSpaceDE w:val="0"/>
        <w:autoSpaceDN w:val="0"/>
        <w:adjustRightInd w:val="0"/>
        <w:jc w:val="both"/>
        <w:rPr>
          <w:rFonts w:ascii="Times New Roman" w:hAnsi="Times New Roman" w:cs="Times New Roman"/>
        </w:rPr>
      </w:pPr>
      <w:r>
        <w:rPr>
          <w:rFonts w:ascii="Times New Roman" w:hAnsi="Times New Roman" w:cs="Times New Roman"/>
        </w:rPr>
        <w:t>I</w:t>
      </w:r>
      <w:r w:rsidR="00EE48D9">
        <w:rPr>
          <w:rFonts w:ascii="Times New Roman" w:hAnsi="Times New Roman" w:cs="Times New Roman"/>
        </w:rPr>
        <w:t xml:space="preserve">n order to maximize sustainability, the structure of each state’s mechanism </w:t>
      </w:r>
      <w:r w:rsidR="00FD3164">
        <w:rPr>
          <w:rFonts w:ascii="Times New Roman" w:hAnsi="Times New Roman" w:cs="Times New Roman"/>
        </w:rPr>
        <w:t xml:space="preserve">should be influenced by the culture of that state.  </w:t>
      </w:r>
      <w:r w:rsidR="00FA384E">
        <w:rPr>
          <w:rFonts w:ascii="Times New Roman" w:hAnsi="Times New Roman" w:cs="Times New Roman"/>
        </w:rPr>
        <w:t>If</w:t>
      </w:r>
      <w:r w:rsidR="00FD3164">
        <w:rPr>
          <w:rFonts w:ascii="Times New Roman" w:hAnsi="Times New Roman" w:cs="Times New Roman"/>
        </w:rPr>
        <w:t xml:space="preserve"> a state has traditionally employed </w:t>
      </w:r>
      <w:r w:rsidR="00A01733">
        <w:rPr>
          <w:rFonts w:ascii="Times New Roman" w:hAnsi="Times New Roman" w:cs="Times New Roman"/>
        </w:rPr>
        <w:t xml:space="preserve">a specific style of ritual negotiations, or of trials, elements of this traditional adjudication should be incorporated into </w:t>
      </w:r>
      <w:r w:rsidR="00FA384E">
        <w:rPr>
          <w:rFonts w:ascii="Times New Roman" w:hAnsi="Times New Roman" w:cs="Times New Roman"/>
        </w:rPr>
        <w:t>the preventative mechanism.</w:t>
      </w:r>
      <w:r w:rsidR="00802B64">
        <w:rPr>
          <w:rFonts w:ascii="Times New Roman" w:hAnsi="Times New Roman" w:cs="Times New Roman"/>
        </w:rPr>
        <w:t xml:space="preserve">  Incorporating traditional tools into the modern mechanism will also help address root causes. </w:t>
      </w:r>
    </w:p>
    <w:p w14:paraId="0777D6D7" w14:textId="2E6348AE" w:rsidR="002D49A2" w:rsidRDefault="00D93430" w:rsidP="006009D2">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Additionally, in order to ensure an effective and lasting transition, the balance of power must be taken into account.</w:t>
      </w:r>
      <w:r w:rsidR="008B3AA9">
        <w:rPr>
          <w:rStyle w:val="FootnoteReference"/>
          <w:rFonts w:ascii="Times New Roman" w:hAnsi="Times New Roman" w:cs="Times New Roman"/>
        </w:rPr>
        <w:footnoteReference w:id="245"/>
      </w:r>
      <w:r w:rsidR="00475900">
        <w:rPr>
          <w:rFonts w:ascii="Times New Roman" w:hAnsi="Times New Roman" w:cs="Times New Roman"/>
        </w:rPr>
        <w:t xml:space="preserve">  Being that many of these</w:t>
      </w:r>
      <w:r w:rsidR="007B776F">
        <w:rPr>
          <w:rFonts w:ascii="Times New Roman" w:hAnsi="Times New Roman" w:cs="Times New Roman"/>
        </w:rPr>
        <w:t xml:space="preserve"> situ</w:t>
      </w:r>
      <w:r w:rsidR="00463800">
        <w:rPr>
          <w:rFonts w:ascii="Times New Roman" w:hAnsi="Times New Roman" w:cs="Times New Roman"/>
        </w:rPr>
        <w:t xml:space="preserve">ations involve non-state actors, it is important that a neutral third party be present in order to ensure that </w:t>
      </w:r>
      <w:r w:rsidR="007939F5">
        <w:rPr>
          <w:rFonts w:ascii="Times New Roman" w:hAnsi="Times New Roman" w:cs="Times New Roman"/>
        </w:rPr>
        <w:t>the state does not use the adjudication to reinforce the preexisting power structure.</w:t>
      </w:r>
      <w:r w:rsidR="00F605FA">
        <w:rPr>
          <w:rStyle w:val="FootnoteReference"/>
          <w:rFonts w:ascii="Times New Roman" w:hAnsi="Times New Roman" w:cs="Times New Roman"/>
        </w:rPr>
        <w:footnoteReference w:id="246"/>
      </w:r>
      <w:r w:rsidR="007939F5">
        <w:rPr>
          <w:rFonts w:ascii="Times New Roman" w:hAnsi="Times New Roman" w:cs="Times New Roman"/>
        </w:rPr>
        <w:t xml:space="preserve"> </w:t>
      </w:r>
      <w:r w:rsidR="00827AC6">
        <w:rPr>
          <w:rFonts w:ascii="Times New Roman" w:hAnsi="Times New Roman" w:cs="Times New Roman"/>
        </w:rPr>
        <w:t xml:space="preserve"> </w:t>
      </w:r>
      <w:r w:rsidR="007939F5">
        <w:rPr>
          <w:rFonts w:ascii="Times New Roman" w:hAnsi="Times New Roman" w:cs="Times New Roman"/>
        </w:rPr>
        <w:t>If the power structure is reinforced, the root cause of the conflict will go unaddressed, and the conflict will not be resolved by the adjudicatory process.</w:t>
      </w:r>
      <w:r w:rsidR="00650B5B">
        <w:rPr>
          <w:rStyle w:val="FootnoteReference"/>
          <w:rFonts w:ascii="Times New Roman" w:hAnsi="Times New Roman" w:cs="Times New Roman"/>
        </w:rPr>
        <w:footnoteReference w:id="247"/>
      </w:r>
      <w:r w:rsidR="00650B5B">
        <w:rPr>
          <w:rFonts w:ascii="Times New Roman" w:hAnsi="Times New Roman" w:cs="Times New Roman"/>
        </w:rPr>
        <w:t xml:space="preserve">  In order to avoid this issue, an effective ADR prevention mechanism should rely upon a </w:t>
      </w:r>
      <w:r w:rsidR="001313A2">
        <w:rPr>
          <w:rFonts w:ascii="Times New Roman" w:hAnsi="Times New Roman" w:cs="Times New Roman"/>
        </w:rPr>
        <w:t xml:space="preserve">collective </w:t>
      </w:r>
      <w:r w:rsidR="00650B5B">
        <w:rPr>
          <w:rFonts w:ascii="Times New Roman" w:hAnsi="Times New Roman" w:cs="Times New Roman"/>
        </w:rPr>
        <w:t>form of ADR that involves a neutral third party, such as mediation</w:t>
      </w:r>
      <w:r w:rsidR="001313A2">
        <w:rPr>
          <w:rFonts w:ascii="Times New Roman" w:hAnsi="Times New Roman" w:cs="Times New Roman"/>
        </w:rPr>
        <w:t xml:space="preserve"> or conciliation</w:t>
      </w:r>
      <w:r w:rsidR="00650B5B">
        <w:rPr>
          <w:rFonts w:ascii="Times New Roman" w:hAnsi="Times New Roman" w:cs="Times New Roman"/>
        </w:rPr>
        <w:t xml:space="preserve">. </w:t>
      </w:r>
      <w:r w:rsidR="00827AC6">
        <w:rPr>
          <w:rFonts w:ascii="Times New Roman" w:hAnsi="Times New Roman" w:cs="Times New Roman"/>
        </w:rPr>
        <w:t xml:space="preserve"> </w:t>
      </w:r>
      <w:r w:rsidR="00650B5B">
        <w:rPr>
          <w:rFonts w:ascii="Times New Roman" w:hAnsi="Times New Roman" w:cs="Times New Roman"/>
        </w:rPr>
        <w:t xml:space="preserve">The third party should be fully aware of the context in which they are mediating, in order to adequately address the root causes of the conflict. </w:t>
      </w:r>
    </w:p>
    <w:p w14:paraId="05D701B7" w14:textId="77777777" w:rsidR="007B2B06" w:rsidRDefault="007B2B06" w:rsidP="00AB6113">
      <w:pPr>
        <w:widowControl w:val="0"/>
        <w:autoSpaceDE w:val="0"/>
        <w:autoSpaceDN w:val="0"/>
        <w:adjustRightInd w:val="0"/>
        <w:jc w:val="both"/>
        <w:rPr>
          <w:rFonts w:ascii="Times New Roman" w:hAnsi="Times New Roman" w:cs="Times New Roman"/>
        </w:rPr>
      </w:pPr>
    </w:p>
    <w:p w14:paraId="6DC16066" w14:textId="104CF572" w:rsidR="00EA39DB" w:rsidRPr="00AB6113" w:rsidRDefault="00987C06" w:rsidP="00AB6113">
      <w:pPr>
        <w:widowControl w:val="0"/>
        <w:autoSpaceDE w:val="0"/>
        <w:autoSpaceDN w:val="0"/>
        <w:adjustRightInd w:val="0"/>
        <w:jc w:val="center"/>
        <w:rPr>
          <w:rFonts w:ascii="Times New Roman" w:hAnsi="Times New Roman" w:cs="Times New Roman"/>
          <w:smallCaps/>
        </w:rPr>
      </w:pPr>
      <w:r w:rsidRPr="00AB6113">
        <w:rPr>
          <w:rFonts w:ascii="Times New Roman" w:hAnsi="Times New Roman" w:cs="Times New Roman"/>
          <w:smallCaps/>
        </w:rPr>
        <w:t xml:space="preserve">V.  </w:t>
      </w:r>
      <w:r w:rsidR="00390089" w:rsidRPr="00AB6113">
        <w:rPr>
          <w:rFonts w:ascii="Times New Roman" w:hAnsi="Times New Roman" w:cs="Times New Roman"/>
          <w:smallCaps/>
        </w:rPr>
        <w:t>Conclusion</w:t>
      </w:r>
    </w:p>
    <w:p w14:paraId="24697E9B" w14:textId="77777777" w:rsidR="007B2B06" w:rsidRPr="00AB6113" w:rsidRDefault="007B2B06" w:rsidP="00AB6113">
      <w:pPr>
        <w:widowControl w:val="0"/>
        <w:autoSpaceDE w:val="0"/>
        <w:autoSpaceDN w:val="0"/>
        <w:adjustRightInd w:val="0"/>
        <w:rPr>
          <w:rFonts w:ascii="Times New Roman" w:hAnsi="Times New Roman" w:cs="Times New Roman"/>
          <w:smallCaps/>
        </w:rPr>
      </w:pPr>
    </w:p>
    <w:p w14:paraId="1B79A47D" w14:textId="75EF1338" w:rsidR="002D49A2" w:rsidRDefault="002D49A2" w:rsidP="006009D2">
      <w:pPr>
        <w:widowControl w:val="0"/>
        <w:autoSpaceDE w:val="0"/>
        <w:autoSpaceDN w:val="0"/>
        <w:adjustRightInd w:val="0"/>
        <w:ind w:firstLine="720"/>
        <w:jc w:val="both"/>
        <w:rPr>
          <w:rFonts w:ascii="Times New Roman" w:hAnsi="Times New Roman" w:cs="Times New Roman"/>
        </w:rPr>
      </w:pPr>
      <w:r w:rsidRPr="002D49A2">
        <w:rPr>
          <w:rFonts w:ascii="Times New Roman" w:hAnsi="Times New Roman" w:cs="Times New Roman"/>
        </w:rPr>
        <w:t xml:space="preserve">While the field of atrocity prevention has come a long way </w:t>
      </w:r>
      <w:r w:rsidR="00340B70">
        <w:rPr>
          <w:rFonts w:ascii="Times New Roman" w:hAnsi="Times New Roman" w:cs="Times New Roman"/>
        </w:rPr>
        <w:t>since its inception</w:t>
      </w:r>
      <w:r w:rsidRPr="002D49A2">
        <w:rPr>
          <w:rFonts w:ascii="Times New Roman" w:hAnsi="Times New Roman" w:cs="Times New Roman"/>
        </w:rPr>
        <w:t>, there is</w:t>
      </w:r>
      <w:r>
        <w:rPr>
          <w:rFonts w:ascii="Times New Roman" w:hAnsi="Times New Roman" w:cs="Times New Roman"/>
        </w:rPr>
        <w:t xml:space="preserve"> still progress that </w:t>
      </w:r>
      <w:r w:rsidR="008B3AA9">
        <w:rPr>
          <w:rFonts w:ascii="Times New Roman" w:hAnsi="Times New Roman" w:cs="Times New Roman"/>
        </w:rPr>
        <w:t xml:space="preserve">must be made in order to completely prevent </w:t>
      </w:r>
      <w:r w:rsidR="00592717">
        <w:rPr>
          <w:rFonts w:ascii="Times New Roman" w:hAnsi="Times New Roman" w:cs="Times New Roman"/>
        </w:rPr>
        <w:t>these crimes</w:t>
      </w:r>
      <w:r w:rsidR="008B3AA9">
        <w:rPr>
          <w:rFonts w:ascii="Times New Roman" w:hAnsi="Times New Roman" w:cs="Times New Roman"/>
        </w:rPr>
        <w:t xml:space="preserve">.  Current mechanisms allow for rebuilding post-conflict, but there is no existing system that takes into account all of the root causes of </w:t>
      </w:r>
      <w:r w:rsidR="00FD4D3B">
        <w:rPr>
          <w:rFonts w:ascii="Times New Roman" w:hAnsi="Times New Roman" w:cs="Times New Roman"/>
        </w:rPr>
        <w:t>atrocity crimes</w:t>
      </w:r>
      <w:r w:rsidR="00CA3664">
        <w:rPr>
          <w:rFonts w:ascii="Times New Roman" w:hAnsi="Times New Roman" w:cs="Times New Roman"/>
        </w:rPr>
        <w:t>, and uses methods o</w:t>
      </w:r>
      <w:r w:rsidR="00D01C8A">
        <w:rPr>
          <w:rFonts w:ascii="Times New Roman" w:hAnsi="Times New Roman" w:cs="Times New Roman"/>
        </w:rPr>
        <w:t>ther than criminal prosecution—</w:t>
      </w:r>
      <w:r w:rsidR="00CA3664">
        <w:rPr>
          <w:rFonts w:ascii="Times New Roman" w:hAnsi="Times New Roman" w:cs="Times New Roman"/>
        </w:rPr>
        <w:t xml:space="preserve">which is not the most </w:t>
      </w:r>
      <w:r w:rsidR="00CA3664">
        <w:rPr>
          <w:rFonts w:ascii="Times New Roman" w:hAnsi="Times New Roman" w:cs="Times New Roman"/>
        </w:rPr>
        <w:lastRenderedPageBreak/>
        <w:t>effective deterrent,</w:t>
      </w:r>
      <w:r w:rsidR="00DF6B80">
        <w:rPr>
          <w:rStyle w:val="FootnoteReference"/>
          <w:rFonts w:ascii="Times New Roman" w:hAnsi="Times New Roman" w:cs="Times New Roman"/>
        </w:rPr>
        <w:footnoteReference w:id="248"/>
      </w:r>
      <w:r w:rsidR="00CA3664">
        <w:rPr>
          <w:rFonts w:ascii="Times New Roman" w:hAnsi="Times New Roman" w:cs="Times New Roman"/>
        </w:rPr>
        <w:t xml:space="preserve"> to address these root causes and develop resilient state and civil structures. </w:t>
      </w:r>
    </w:p>
    <w:p w14:paraId="09A99177" w14:textId="1B420821" w:rsidR="00886EEB" w:rsidRPr="00117E76" w:rsidRDefault="00CA3664" w:rsidP="00AB6113">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 xml:space="preserve">Any future atrocity prevention mechanisms implemented must </w:t>
      </w:r>
      <w:r w:rsidR="00F25B19">
        <w:rPr>
          <w:rFonts w:ascii="Times New Roman" w:hAnsi="Times New Roman" w:cs="Times New Roman"/>
        </w:rPr>
        <w:t>apply</w:t>
      </w:r>
      <w:r>
        <w:rPr>
          <w:rFonts w:ascii="Times New Roman" w:hAnsi="Times New Roman" w:cs="Times New Roman"/>
        </w:rPr>
        <w:t xml:space="preserve"> bot</w:t>
      </w:r>
      <w:r w:rsidR="00F25B19">
        <w:rPr>
          <w:rFonts w:ascii="Times New Roman" w:hAnsi="Times New Roman" w:cs="Times New Roman"/>
        </w:rPr>
        <w:t xml:space="preserve">h R2P and the </w:t>
      </w:r>
      <w:r w:rsidR="00607BBD">
        <w:rPr>
          <w:rFonts w:ascii="Times New Roman" w:hAnsi="Times New Roman" w:cs="Times New Roman"/>
        </w:rPr>
        <w:t>U.N.</w:t>
      </w:r>
      <w:r w:rsidR="00F25B19">
        <w:rPr>
          <w:rFonts w:ascii="Times New Roman" w:hAnsi="Times New Roman" w:cs="Times New Roman"/>
        </w:rPr>
        <w:t xml:space="preserve"> Framework</w:t>
      </w:r>
      <w:r w:rsidR="002577BE">
        <w:rPr>
          <w:rFonts w:ascii="Times New Roman" w:hAnsi="Times New Roman" w:cs="Times New Roman"/>
        </w:rPr>
        <w:t xml:space="preserve"> of Analysis</w:t>
      </w:r>
      <w:r w:rsidR="00F25B19">
        <w:rPr>
          <w:rFonts w:ascii="Times New Roman" w:hAnsi="Times New Roman" w:cs="Times New Roman"/>
        </w:rPr>
        <w:t xml:space="preserve">, as these mechanisms provide the necessary tools </w:t>
      </w:r>
      <w:r w:rsidR="00FD4D3B">
        <w:rPr>
          <w:rFonts w:ascii="Times New Roman" w:hAnsi="Times New Roman" w:cs="Times New Roman"/>
        </w:rPr>
        <w:t>to confront the root causes of atrocity crimes and prevent recurrence.</w:t>
      </w:r>
      <w:r w:rsidR="003A1B9D">
        <w:rPr>
          <w:rStyle w:val="FootnoteReference"/>
          <w:rFonts w:ascii="Times New Roman" w:hAnsi="Times New Roman" w:cs="Times New Roman"/>
        </w:rPr>
        <w:footnoteReference w:id="249"/>
      </w:r>
      <w:r w:rsidR="003A1B9D">
        <w:rPr>
          <w:rFonts w:ascii="Times New Roman" w:hAnsi="Times New Roman" w:cs="Times New Roman"/>
        </w:rPr>
        <w:t xml:space="preserve"> </w:t>
      </w:r>
      <w:r w:rsidR="00FD4D3B">
        <w:rPr>
          <w:rFonts w:ascii="Times New Roman" w:hAnsi="Times New Roman" w:cs="Times New Roman"/>
        </w:rPr>
        <w:t xml:space="preserve"> R2P enables the international community to act as a support system without violating state sovereignty,</w:t>
      </w:r>
      <w:r w:rsidR="00DF6B80">
        <w:rPr>
          <w:rStyle w:val="FootnoteReference"/>
          <w:rFonts w:ascii="Times New Roman" w:hAnsi="Times New Roman" w:cs="Times New Roman"/>
        </w:rPr>
        <w:footnoteReference w:id="250"/>
      </w:r>
      <w:r w:rsidR="00FD4D3B">
        <w:rPr>
          <w:rFonts w:ascii="Times New Roman" w:hAnsi="Times New Roman" w:cs="Times New Roman"/>
        </w:rPr>
        <w:t xml:space="preserve"> and the </w:t>
      </w:r>
      <w:r w:rsidR="00607BBD">
        <w:rPr>
          <w:rFonts w:ascii="Times New Roman" w:hAnsi="Times New Roman" w:cs="Times New Roman"/>
        </w:rPr>
        <w:t>U.N.</w:t>
      </w:r>
      <w:r w:rsidR="00FD4D3B">
        <w:rPr>
          <w:rFonts w:ascii="Times New Roman" w:hAnsi="Times New Roman" w:cs="Times New Roman"/>
        </w:rPr>
        <w:t xml:space="preserve"> Framework</w:t>
      </w:r>
      <w:r w:rsidR="002577BE">
        <w:rPr>
          <w:rFonts w:ascii="Times New Roman" w:hAnsi="Times New Roman" w:cs="Times New Roman"/>
        </w:rPr>
        <w:t xml:space="preserve"> of Analysis</w:t>
      </w:r>
      <w:r w:rsidR="00FD4D3B">
        <w:rPr>
          <w:rFonts w:ascii="Times New Roman" w:hAnsi="Times New Roman" w:cs="Times New Roman"/>
        </w:rPr>
        <w:t xml:space="preserve"> highlights which behaviors states should look out for.</w:t>
      </w:r>
      <w:r w:rsidR="00826FE4">
        <w:rPr>
          <w:rStyle w:val="FootnoteReference"/>
          <w:rFonts w:ascii="Times New Roman" w:hAnsi="Times New Roman" w:cs="Times New Roman"/>
        </w:rPr>
        <w:footnoteReference w:id="251"/>
      </w:r>
      <w:r w:rsidR="008F4B5A">
        <w:rPr>
          <w:rFonts w:ascii="Times New Roman" w:hAnsi="Times New Roman" w:cs="Times New Roman"/>
        </w:rPr>
        <w:t xml:space="preserve"> </w:t>
      </w:r>
      <w:r w:rsidR="006D4441">
        <w:rPr>
          <w:rFonts w:ascii="Times New Roman" w:hAnsi="Times New Roman" w:cs="Times New Roman"/>
        </w:rPr>
        <w:t xml:space="preserve"> </w:t>
      </w:r>
      <w:r w:rsidR="00C21592">
        <w:rPr>
          <w:rFonts w:ascii="Times New Roman" w:hAnsi="Times New Roman" w:cs="Times New Roman"/>
        </w:rPr>
        <w:t xml:space="preserve">The nature of criminal prosecution and traditional legal methods alone are not conducive to effective prevention.  </w:t>
      </w:r>
      <w:r w:rsidR="00FB0437">
        <w:rPr>
          <w:rFonts w:ascii="Times New Roman" w:hAnsi="Times New Roman" w:cs="Times New Roman"/>
        </w:rPr>
        <w:t xml:space="preserve">When implementing the </w:t>
      </w:r>
      <w:r w:rsidR="00607BBD">
        <w:rPr>
          <w:rFonts w:ascii="Times New Roman" w:hAnsi="Times New Roman" w:cs="Times New Roman"/>
        </w:rPr>
        <w:t>U.N.</w:t>
      </w:r>
      <w:r w:rsidR="00FB0437">
        <w:rPr>
          <w:rFonts w:ascii="Times New Roman" w:hAnsi="Times New Roman" w:cs="Times New Roman"/>
        </w:rPr>
        <w:t xml:space="preserve"> Framework</w:t>
      </w:r>
      <w:r w:rsidR="002577BE">
        <w:rPr>
          <w:rFonts w:ascii="Times New Roman" w:hAnsi="Times New Roman" w:cs="Times New Roman"/>
        </w:rPr>
        <w:t xml:space="preserve"> of Analysis</w:t>
      </w:r>
      <w:r w:rsidR="00FB0437">
        <w:rPr>
          <w:rFonts w:ascii="Times New Roman" w:hAnsi="Times New Roman" w:cs="Times New Roman"/>
        </w:rPr>
        <w:t xml:space="preserve"> as part of the R2P toolbox, it would be in the best interests of the international community to incorporate various forms of ADR.</w:t>
      </w:r>
      <w:r w:rsidR="00647004">
        <w:rPr>
          <w:rFonts w:ascii="Times New Roman" w:hAnsi="Times New Roman" w:cs="Times New Roman"/>
        </w:rPr>
        <w:t xml:space="preserve">  This is because effective transitional justice and reconciliation mechanisms are characteristically similar to ADR both in their purposes and structures.</w:t>
      </w:r>
    </w:p>
    <w:sectPr w:rsidR="00886EEB" w:rsidRPr="00117E76" w:rsidSect="00017CC2">
      <w:headerReference w:type="default" r:id="rId9"/>
      <w:footerReference w:type="even" r:id="rId10"/>
      <w:footerReference w:type="default" r:id="rId11"/>
      <w:pgSz w:w="10080" w:h="1440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08D0A1" w14:textId="77777777" w:rsidR="00383783" w:rsidRDefault="00383783" w:rsidP="00C64635">
      <w:r>
        <w:separator/>
      </w:r>
    </w:p>
  </w:endnote>
  <w:endnote w:type="continuationSeparator" w:id="0">
    <w:p w14:paraId="476D5235" w14:textId="77777777" w:rsidR="00383783" w:rsidRDefault="00383783" w:rsidP="00C64635">
      <w:r>
        <w:continuationSeparator/>
      </w:r>
    </w:p>
  </w:endnote>
  <w:endnote w:type="continuationNotice" w:id="1">
    <w:p w14:paraId="7E1A22AA" w14:textId="77777777" w:rsidR="00383783" w:rsidRDefault="003837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auto"/>
    <w:pitch w:val="variable"/>
    <w:sig w:usb0="E00002FF" w:usb1="2AC7FDFF" w:usb2="00000016" w:usb3="00000000" w:csb0="0002009F" w:csb1="00000000"/>
  </w:font>
  <w:font w:name="Lucida Grande">
    <w:altName w:val="Arial"/>
    <w:charset w:val="00"/>
    <w:family w:val="auto"/>
    <w:pitch w:val="variable"/>
    <w:sig w:usb0="00000000" w:usb1="5000A1FF" w:usb2="00000000" w:usb3="00000000" w:csb0="000001BF" w:csb1="00000000"/>
  </w:font>
  <w:font w:name="Times New Roman (Theme Headings">
    <w:altName w:val="Times New Roman"/>
    <w:charset w:val="00"/>
    <w:family w:val="auto"/>
    <w:pitch w:val="variable"/>
    <w:sig w:usb0="00000000"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DBB27" w14:textId="77777777" w:rsidR="00802DBC" w:rsidRDefault="00802DBC" w:rsidP="00222C5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79BF53" w14:textId="77777777" w:rsidR="00802DBC" w:rsidRDefault="00802DBC" w:rsidP="00A407D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713A3" w14:textId="77777777" w:rsidR="00802DBC" w:rsidRPr="00222C55" w:rsidRDefault="00802DBC" w:rsidP="00A407D7">
    <w:pPr>
      <w:pStyle w:val="Footer"/>
      <w:ind w:right="360"/>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F841E2" w14:textId="77777777" w:rsidR="00383783" w:rsidRDefault="00383783" w:rsidP="00C64635">
      <w:r>
        <w:separator/>
      </w:r>
    </w:p>
  </w:footnote>
  <w:footnote w:type="continuationSeparator" w:id="0">
    <w:p w14:paraId="6AB0F6E6" w14:textId="77777777" w:rsidR="00383783" w:rsidRDefault="00383783" w:rsidP="00C64635">
      <w:r>
        <w:continuationSeparator/>
      </w:r>
    </w:p>
  </w:footnote>
  <w:footnote w:type="continuationNotice" w:id="1">
    <w:p w14:paraId="788AC8B6" w14:textId="77777777" w:rsidR="00383783" w:rsidRDefault="00383783"/>
  </w:footnote>
  <w:footnote w:id="2">
    <w:p w14:paraId="245FD503" w14:textId="71E24716" w:rsidR="00802DBC" w:rsidRPr="005E1DB7" w:rsidRDefault="00802DBC" w:rsidP="005E1DB7">
      <w:pPr>
        <w:pStyle w:val="FootnoteText"/>
        <w:jc w:val="both"/>
        <w:rPr>
          <w:rFonts w:ascii="Times New Roman" w:hAnsi="Times New Roman" w:cs="Times New Roman"/>
          <w:sz w:val="20"/>
          <w:szCs w:val="20"/>
        </w:rPr>
      </w:pPr>
      <w:r>
        <w:rPr>
          <w:rFonts w:asciiTheme="majorBidi" w:hAnsiTheme="majorBidi" w:cstheme="majorBidi"/>
          <w:sz w:val="20"/>
          <w:szCs w:val="20"/>
        </w:rPr>
        <w:t>*</w:t>
      </w:r>
      <w:r>
        <w:rPr>
          <w:rFonts w:ascii="Times New Roman" w:hAnsi="Times New Roman" w:cs="Times New Roman"/>
          <w:sz w:val="20"/>
          <w:szCs w:val="20"/>
        </w:rPr>
        <w:t xml:space="preserve">Managing Editor, </w:t>
      </w:r>
      <w:r w:rsidRPr="009D5855">
        <w:rPr>
          <w:rFonts w:ascii="Times New Roman" w:hAnsi="Times New Roman" w:cs="Times New Roman"/>
          <w:i/>
          <w:sz w:val="20"/>
          <w:szCs w:val="20"/>
        </w:rPr>
        <w:t>Cardozo Journal of Conflict Resolution</w:t>
      </w:r>
      <w:r>
        <w:rPr>
          <w:rFonts w:ascii="Times New Roman" w:hAnsi="Times New Roman" w:cs="Times New Roman"/>
          <w:sz w:val="20"/>
          <w:szCs w:val="20"/>
        </w:rPr>
        <w:t xml:space="preserve">.  B.A. 2014, Bryn Mawr College; J.D. Candidate, 2018, Benjamin N. Cardozo School of Law.  The author would like to thank her family, friends, and mentors for their love, support, and encouragement.  In addition, she also thanks Professors Jocelyn </w:t>
      </w:r>
      <w:proofErr w:type="spellStart"/>
      <w:r>
        <w:rPr>
          <w:rFonts w:ascii="Times New Roman" w:hAnsi="Times New Roman" w:cs="Times New Roman"/>
          <w:sz w:val="20"/>
          <w:szCs w:val="20"/>
        </w:rPr>
        <w:t>Getgen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Kestnbaum</w:t>
      </w:r>
      <w:proofErr w:type="spellEnd"/>
      <w:r>
        <w:rPr>
          <w:rFonts w:ascii="Times New Roman" w:hAnsi="Times New Roman" w:cs="Times New Roman"/>
          <w:sz w:val="20"/>
          <w:szCs w:val="20"/>
        </w:rPr>
        <w:t xml:space="preserve"> and Diana Kearney for their insight and guidance in drafting this Note. </w:t>
      </w:r>
    </w:p>
    <w:p w14:paraId="31FF9775" w14:textId="3BC0101B" w:rsidR="00802DBC" w:rsidRPr="00EF740A" w:rsidRDefault="00802DBC" w:rsidP="00875F6A">
      <w:pPr>
        <w:pStyle w:val="FootnoteText"/>
        <w:ind w:firstLine="144"/>
        <w:jc w:val="both"/>
        <w:rPr>
          <w:rFonts w:asciiTheme="majorBidi" w:hAnsiTheme="majorBidi" w:cstheme="majorBidi"/>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EF740A">
        <w:rPr>
          <w:rFonts w:ascii="Times New Roman" w:hAnsi="Times New Roman" w:cs="Times New Roman"/>
          <w:i/>
          <w:sz w:val="20"/>
          <w:szCs w:val="20"/>
        </w:rPr>
        <w:t xml:space="preserve">See generally </w:t>
      </w:r>
      <w:r w:rsidRPr="00EF740A">
        <w:rPr>
          <w:rFonts w:ascii="Times New Roman" w:hAnsi="Times New Roman" w:cs="Times New Roman"/>
          <w:smallCaps/>
          <w:sz w:val="20"/>
          <w:szCs w:val="20"/>
        </w:rPr>
        <w:t xml:space="preserve">Reconstructing Atrocity Prevention </w:t>
      </w:r>
      <w:r w:rsidRPr="00EF740A">
        <w:rPr>
          <w:rFonts w:ascii="Times New Roman" w:hAnsi="Times New Roman" w:cs="Times New Roman"/>
          <w:sz w:val="20"/>
          <w:szCs w:val="20"/>
        </w:rPr>
        <w:t>(</w:t>
      </w:r>
      <w:proofErr w:type="spellStart"/>
      <w:r w:rsidRPr="00EF740A">
        <w:rPr>
          <w:rFonts w:ascii="Times New Roman" w:hAnsi="Times New Roman" w:cs="Times New Roman"/>
          <w:sz w:val="20"/>
          <w:szCs w:val="20"/>
        </w:rPr>
        <w:t>Tibi</w:t>
      </w:r>
      <w:proofErr w:type="spellEnd"/>
      <w:r w:rsidRPr="00EF740A">
        <w:rPr>
          <w:rFonts w:ascii="Times New Roman" w:hAnsi="Times New Roman" w:cs="Times New Roman"/>
          <w:sz w:val="20"/>
          <w:szCs w:val="20"/>
        </w:rPr>
        <w:t xml:space="preserve"> Galis et al. eds., Cambridge University Press 2016). </w:t>
      </w:r>
    </w:p>
  </w:footnote>
  <w:footnote w:id="3">
    <w:p w14:paraId="58A702FB" w14:textId="2B4BFB84" w:rsidR="00802DBC" w:rsidRPr="00EF740A" w:rsidRDefault="00802DBC" w:rsidP="00875F6A">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Pr>
          <w:rFonts w:ascii="Times New Roman" w:hAnsi="Times New Roman" w:cs="Times New Roman"/>
          <w:i/>
          <w:iCs/>
          <w:sz w:val="20"/>
          <w:szCs w:val="20"/>
        </w:rPr>
        <w:t xml:space="preserve">Id. </w:t>
      </w:r>
      <w:r w:rsidRPr="00EF740A">
        <w:rPr>
          <w:rFonts w:ascii="Times New Roman" w:hAnsi="Times New Roman" w:cs="Times New Roman"/>
          <w:sz w:val="20"/>
          <w:szCs w:val="20"/>
        </w:rPr>
        <w:t>Ethnic cleansing is not a legal term. It refers to the process by which a city, state, etc. is made ethnically pure, and can involve aspects of the other crimes listed above.</w:t>
      </w:r>
    </w:p>
  </w:footnote>
  <w:footnote w:id="4">
    <w:p w14:paraId="195812BD" w14:textId="754FF5DD" w:rsidR="00802DBC" w:rsidRPr="00445C4C" w:rsidRDefault="00802DBC" w:rsidP="00445C4C">
      <w:pPr>
        <w:ind w:firstLine="144"/>
        <w:jc w:val="both"/>
        <w:rPr>
          <w:rFonts w:ascii="Times New Roman" w:eastAsia="Times New Roman" w:hAnsi="Times New Roman" w:cs="Times New Roman"/>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Rome Statute of the International Criminal Court, U</w:t>
      </w:r>
      <w:r>
        <w:rPr>
          <w:rFonts w:ascii="Times New Roman" w:hAnsi="Times New Roman" w:cs="Times New Roman"/>
          <w:sz w:val="20"/>
          <w:szCs w:val="20"/>
        </w:rPr>
        <w:t>.</w:t>
      </w:r>
      <w:r w:rsidRPr="00EF740A">
        <w:rPr>
          <w:rFonts w:ascii="Times New Roman" w:hAnsi="Times New Roman" w:cs="Times New Roman"/>
          <w:sz w:val="20"/>
          <w:szCs w:val="20"/>
        </w:rPr>
        <w:t>N</w:t>
      </w:r>
      <w:r>
        <w:rPr>
          <w:rFonts w:ascii="Times New Roman" w:hAnsi="Times New Roman" w:cs="Times New Roman"/>
          <w:sz w:val="20"/>
          <w:szCs w:val="20"/>
        </w:rPr>
        <w:t>.</w:t>
      </w:r>
      <w:r w:rsidRPr="00EF740A">
        <w:rPr>
          <w:rFonts w:ascii="Times New Roman" w:hAnsi="Times New Roman" w:cs="Times New Roman"/>
          <w:sz w:val="20"/>
          <w:szCs w:val="20"/>
        </w:rPr>
        <w:t xml:space="preserve"> Doc. A/CONF</w:t>
      </w:r>
      <w:r>
        <w:rPr>
          <w:rFonts w:ascii="Times New Roman" w:hAnsi="Times New Roman" w:cs="Times New Roman"/>
          <w:sz w:val="20"/>
          <w:szCs w:val="20"/>
        </w:rPr>
        <w:t xml:space="preserve"> </w:t>
      </w:r>
      <w:r w:rsidRPr="00EF740A">
        <w:rPr>
          <w:rFonts w:ascii="Times New Roman" w:hAnsi="Times New Roman" w:cs="Times New Roman"/>
          <w:sz w:val="20"/>
          <w:szCs w:val="20"/>
        </w:rPr>
        <w:t>183/9</w:t>
      </w:r>
      <w:r>
        <w:rPr>
          <w:rFonts w:ascii="Times New Roman" w:hAnsi="Times New Roman" w:cs="Times New Roman"/>
          <w:sz w:val="20"/>
          <w:szCs w:val="20"/>
        </w:rPr>
        <w:t>,</w:t>
      </w:r>
      <w:r w:rsidRPr="00EF740A">
        <w:rPr>
          <w:rFonts w:ascii="Times New Roman" w:hAnsi="Times New Roman" w:cs="Times New Roman"/>
          <w:sz w:val="20"/>
          <w:szCs w:val="20"/>
        </w:rPr>
        <w:t xml:space="preserve"> </w:t>
      </w:r>
      <w:r w:rsidRPr="00445C4C">
        <w:rPr>
          <w:rFonts w:ascii="Times New Roman" w:hAnsi="Times New Roman" w:cs="Times New Roman"/>
          <w:i/>
          <w:sz w:val="20"/>
          <w:szCs w:val="20"/>
        </w:rPr>
        <w:t>adopted</w:t>
      </w:r>
      <w:r w:rsidRPr="00EB7829">
        <w:rPr>
          <w:rFonts w:ascii="Times New Roman" w:hAnsi="Times New Roman" w:cs="Times New Roman"/>
          <w:sz w:val="20"/>
          <w:szCs w:val="20"/>
        </w:rPr>
        <w:t xml:space="preserve"> July </w:t>
      </w:r>
      <w:r>
        <w:rPr>
          <w:rFonts w:ascii="Times New Roman" w:hAnsi="Times New Roman" w:cs="Times New Roman"/>
          <w:sz w:val="20"/>
          <w:szCs w:val="20"/>
        </w:rPr>
        <w:t xml:space="preserve">17, </w:t>
      </w:r>
      <w:r w:rsidRPr="00EB7829">
        <w:rPr>
          <w:rFonts w:ascii="Times New Roman" w:hAnsi="Times New Roman" w:cs="Times New Roman"/>
          <w:sz w:val="20"/>
          <w:szCs w:val="20"/>
        </w:rPr>
        <w:t>1998</w:t>
      </w:r>
      <w:r>
        <w:rPr>
          <w:rFonts w:ascii="Times New Roman" w:hAnsi="Times New Roman" w:cs="Times New Roman"/>
          <w:sz w:val="20"/>
          <w:szCs w:val="20"/>
        </w:rPr>
        <w:t>,</w:t>
      </w:r>
      <w:r w:rsidRPr="00EB7829">
        <w:rPr>
          <w:rFonts w:ascii="Times New Roman" w:hAnsi="Times New Roman" w:cs="Times New Roman"/>
          <w:sz w:val="20"/>
          <w:szCs w:val="20"/>
        </w:rPr>
        <w:t xml:space="preserve"> </w:t>
      </w:r>
      <w:r>
        <w:rPr>
          <w:rFonts w:ascii="Times New Roman" w:hAnsi="Times New Roman" w:cs="Times New Roman"/>
          <w:sz w:val="20"/>
          <w:szCs w:val="20"/>
        </w:rPr>
        <w:t xml:space="preserve">2187 U.N.T.S. 90, </w:t>
      </w:r>
      <w:r w:rsidRPr="00B6478B">
        <w:rPr>
          <w:rFonts w:ascii="Times New Roman" w:hAnsi="Times New Roman" w:cs="Times New Roman"/>
          <w:sz w:val="20"/>
          <w:szCs w:val="20"/>
        </w:rPr>
        <w:t>37 I</w:t>
      </w:r>
      <w:r>
        <w:rPr>
          <w:rFonts w:ascii="Times New Roman" w:hAnsi="Times New Roman" w:cs="Times New Roman"/>
          <w:sz w:val="20"/>
          <w:szCs w:val="20"/>
        </w:rPr>
        <w:t>.</w:t>
      </w:r>
      <w:r w:rsidRPr="00B6478B">
        <w:rPr>
          <w:rFonts w:ascii="Times New Roman" w:hAnsi="Times New Roman" w:cs="Times New Roman"/>
          <w:sz w:val="20"/>
          <w:szCs w:val="20"/>
        </w:rPr>
        <w:t>L</w:t>
      </w:r>
      <w:r>
        <w:rPr>
          <w:rFonts w:ascii="Times New Roman" w:hAnsi="Times New Roman" w:cs="Times New Roman"/>
          <w:sz w:val="20"/>
          <w:szCs w:val="20"/>
        </w:rPr>
        <w:t>.</w:t>
      </w:r>
      <w:r w:rsidRPr="00B6478B">
        <w:rPr>
          <w:rFonts w:ascii="Times New Roman" w:hAnsi="Times New Roman" w:cs="Times New Roman"/>
          <w:sz w:val="20"/>
          <w:szCs w:val="20"/>
        </w:rPr>
        <w:t>M</w:t>
      </w:r>
      <w:r>
        <w:rPr>
          <w:rFonts w:ascii="Times New Roman" w:hAnsi="Times New Roman" w:cs="Times New Roman"/>
          <w:sz w:val="20"/>
          <w:szCs w:val="20"/>
        </w:rPr>
        <w:t>.</w:t>
      </w:r>
      <w:r w:rsidRPr="00B6478B">
        <w:rPr>
          <w:rFonts w:ascii="Times New Roman" w:hAnsi="Times New Roman" w:cs="Times New Roman"/>
          <w:sz w:val="20"/>
          <w:szCs w:val="20"/>
        </w:rPr>
        <w:t xml:space="preserve"> 1002 (1998)</w:t>
      </w:r>
      <w:r>
        <w:rPr>
          <w:rFonts w:ascii="Times New Roman" w:hAnsi="Times New Roman" w:cs="Times New Roman"/>
          <w:sz w:val="20"/>
          <w:szCs w:val="20"/>
        </w:rPr>
        <w:t>, (entered into force July 1, 2002). [hereinafter Rome Statute].</w:t>
      </w:r>
    </w:p>
  </w:footnote>
  <w:footnote w:id="5">
    <w:p w14:paraId="1D6C361C" w14:textId="0D6608DF" w:rsidR="00802DBC" w:rsidRPr="00EF740A" w:rsidRDefault="00802DBC" w:rsidP="00875F6A">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EF740A">
        <w:rPr>
          <w:rFonts w:ascii="Times New Roman" w:hAnsi="Times New Roman" w:cs="Times New Roman"/>
          <w:i/>
          <w:sz w:val="20"/>
          <w:szCs w:val="20"/>
        </w:rPr>
        <w:t xml:space="preserve">See </w:t>
      </w:r>
      <w:r w:rsidRPr="00EF740A">
        <w:rPr>
          <w:rFonts w:ascii="Times New Roman" w:hAnsi="Times New Roman" w:cs="Times New Roman"/>
          <w:bCs/>
          <w:sz w:val="20"/>
          <w:szCs w:val="20"/>
        </w:rPr>
        <w:t xml:space="preserve">Convention on the Prevention and Punishment of the Crime of Genocide, </w:t>
      </w:r>
      <w:r>
        <w:rPr>
          <w:rFonts w:ascii="Times New Roman" w:hAnsi="Times New Roman" w:cs="Times New Roman"/>
          <w:bCs/>
          <w:sz w:val="20"/>
          <w:szCs w:val="20"/>
        </w:rPr>
        <w:t xml:space="preserve">U.N. Doc. X/XXX (1948), </w:t>
      </w:r>
      <w:r w:rsidRPr="00EF740A">
        <w:rPr>
          <w:rFonts w:ascii="Times New Roman" w:hAnsi="Times New Roman" w:cs="Times New Roman"/>
          <w:bCs/>
          <w:sz w:val="20"/>
          <w:szCs w:val="20"/>
        </w:rPr>
        <w:t>78 U.N.T.S. 277</w:t>
      </w:r>
      <w:r>
        <w:rPr>
          <w:rFonts w:ascii="Times New Roman" w:hAnsi="Times New Roman" w:cs="Times New Roman"/>
          <w:bCs/>
          <w:sz w:val="20"/>
          <w:szCs w:val="20"/>
        </w:rPr>
        <w:t xml:space="preserve"> [hereinafter Genocide Convention]</w:t>
      </w:r>
      <w:r w:rsidRPr="00EF740A">
        <w:rPr>
          <w:rFonts w:ascii="Times New Roman" w:hAnsi="Times New Roman" w:cs="Times New Roman"/>
          <w:bCs/>
          <w:sz w:val="20"/>
          <w:szCs w:val="20"/>
        </w:rPr>
        <w:t>;</w:t>
      </w:r>
      <w:r>
        <w:rPr>
          <w:rFonts w:ascii="Times New Roman" w:hAnsi="Times New Roman" w:cs="Times New Roman"/>
          <w:bCs/>
          <w:sz w:val="20"/>
          <w:szCs w:val="20"/>
        </w:rPr>
        <w:t xml:space="preserve"> </w:t>
      </w:r>
      <w:r w:rsidRPr="00EF740A">
        <w:rPr>
          <w:rFonts w:ascii="Times New Roman" w:hAnsi="Times New Roman" w:cs="Times New Roman"/>
          <w:sz w:val="20"/>
          <w:szCs w:val="20"/>
        </w:rPr>
        <w:t xml:space="preserve">Convention against Torture and Other Cruel, Inhuman or Degrading Treatment or Punishment, Dec. 10, 1984, </w:t>
      </w:r>
      <w:r>
        <w:rPr>
          <w:rFonts w:ascii="Times New Roman" w:hAnsi="Times New Roman" w:cs="Times New Roman"/>
          <w:sz w:val="20"/>
          <w:szCs w:val="20"/>
        </w:rPr>
        <w:t xml:space="preserve">U.N. Doc. A/39/51, </w:t>
      </w:r>
      <w:r w:rsidRPr="00EF740A">
        <w:rPr>
          <w:rFonts w:ascii="Times New Roman" w:hAnsi="Times New Roman" w:cs="Times New Roman"/>
          <w:sz w:val="20"/>
          <w:szCs w:val="20"/>
        </w:rPr>
        <w:t>1465 U.N.T.S. 85; 1949 Geneva Convention I for the Amelioration of the Condition of the Wounded and Sick in Armed Forces in the Field, 75 U</w:t>
      </w:r>
      <w:r>
        <w:rPr>
          <w:rFonts w:ascii="Times New Roman" w:hAnsi="Times New Roman" w:cs="Times New Roman"/>
          <w:sz w:val="20"/>
          <w:szCs w:val="20"/>
        </w:rPr>
        <w:t>.</w:t>
      </w:r>
      <w:r w:rsidRPr="00EF740A">
        <w:rPr>
          <w:rFonts w:ascii="Times New Roman" w:hAnsi="Times New Roman" w:cs="Times New Roman"/>
          <w:sz w:val="20"/>
          <w:szCs w:val="20"/>
        </w:rPr>
        <w:t>N</w:t>
      </w:r>
      <w:r>
        <w:rPr>
          <w:rFonts w:ascii="Times New Roman" w:hAnsi="Times New Roman" w:cs="Times New Roman"/>
          <w:sz w:val="20"/>
          <w:szCs w:val="20"/>
        </w:rPr>
        <w:t>.</w:t>
      </w:r>
      <w:r w:rsidRPr="00EF740A">
        <w:rPr>
          <w:rFonts w:ascii="Times New Roman" w:hAnsi="Times New Roman" w:cs="Times New Roman"/>
          <w:sz w:val="20"/>
          <w:szCs w:val="20"/>
        </w:rPr>
        <w:t>T</w:t>
      </w:r>
      <w:r>
        <w:rPr>
          <w:rFonts w:ascii="Times New Roman" w:hAnsi="Times New Roman" w:cs="Times New Roman"/>
          <w:sz w:val="20"/>
          <w:szCs w:val="20"/>
        </w:rPr>
        <w:t>.</w:t>
      </w:r>
      <w:r w:rsidRPr="00EF740A">
        <w:rPr>
          <w:rFonts w:ascii="Times New Roman" w:hAnsi="Times New Roman" w:cs="Times New Roman"/>
          <w:sz w:val="20"/>
          <w:szCs w:val="20"/>
        </w:rPr>
        <w:t>S</w:t>
      </w:r>
      <w:r>
        <w:rPr>
          <w:rFonts w:ascii="Times New Roman" w:hAnsi="Times New Roman" w:cs="Times New Roman"/>
          <w:sz w:val="20"/>
          <w:szCs w:val="20"/>
        </w:rPr>
        <w:t>.</w:t>
      </w:r>
      <w:r w:rsidRPr="00EF740A">
        <w:rPr>
          <w:rFonts w:ascii="Times New Roman" w:hAnsi="Times New Roman" w:cs="Times New Roman"/>
          <w:sz w:val="20"/>
          <w:szCs w:val="20"/>
        </w:rPr>
        <w:t xml:space="preserve"> 31/ [1958] ATS No</w:t>
      </w:r>
      <w:r>
        <w:rPr>
          <w:rFonts w:ascii="Times New Roman" w:hAnsi="Times New Roman" w:cs="Times New Roman"/>
          <w:sz w:val="20"/>
          <w:szCs w:val="20"/>
        </w:rPr>
        <w:t>.</w:t>
      </w:r>
      <w:r w:rsidRPr="00EF740A">
        <w:rPr>
          <w:rFonts w:ascii="Times New Roman" w:hAnsi="Times New Roman" w:cs="Times New Roman"/>
          <w:sz w:val="20"/>
          <w:szCs w:val="20"/>
        </w:rPr>
        <w:t xml:space="preserve"> 21 [hereinafter Geneva Convention I]; 1949 Geneva Convention (II) for the Amelioration of the Condition of Wounded, Sick and Shipwrecked Members of Armed Forces at Sea, 75 </w:t>
      </w:r>
      <w:r>
        <w:rPr>
          <w:rFonts w:ascii="Times New Roman" w:hAnsi="Times New Roman" w:cs="Times New Roman"/>
          <w:sz w:val="20"/>
          <w:szCs w:val="20"/>
        </w:rPr>
        <w:t>U.N.</w:t>
      </w:r>
      <w:r w:rsidRPr="00EF740A">
        <w:rPr>
          <w:rFonts w:ascii="Times New Roman" w:hAnsi="Times New Roman" w:cs="Times New Roman"/>
          <w:sz w:val="20"/>
          <w:szCs w:val="20"/>
        </w:rPr>
        <w:t>TS 85/ [1958] ATS No</w:t>
      </w:r>
      <w:r>
        <w:rPr>
          <w:rFonts w:ascii="Times New Roman" w:hAnsi="Times New Roman" w:cs="Times New Roman"/>
          <w:sz w:val="20"/>
          <w:szCs w:val="20"/>
        </w:rPr>
        <w:t>.</w:t>
      </w:r>
      <w:r w:rsidRPr="00EF740A">
        <w:rPr>
          <w:rFonts w:ascii="Times New Roman" w:hAnsi="Times New Roman" w:cs="Times New Roman"/>
          <w:sz w:val="20"/>
          <w:szCs w:val="20"/>
        </w:rPr>
        <w:t xml:space="preserve"> 21 [hereinafter Geneva Convention II]; 1949 Geneva Convention (III) Relative to the Treatment of Prisoners of War, 75 U</w:t>
      </w:r>
      <w:r>
        <w:rPr>
          <w:rFonts w:ascii="Times New Roman" w:hAnsi="Times New Roman" w:cs="Times New Roman"/>
          <w:sz w:val="20"/>
          <w:szCs w:val="20"/>
        </w:rPr>
        <w:t>.</w:t>
      </w:r>
      <w:r w:rsidRPr="00EF740A">
        <w:rPr>
          <w:rFonts w:ascii="Times New Roman" w:hAnsi="Times New Roman" w:cs="Times New Roman"/>
          <w:sz w:val="20"/>
          <w:szCs w:val="20"/>
        </w:rPr>
        <w:t>N</w:t>
      </w:r>
      <w:r>
        <w:rPr>
          <w:rFonts w:ascii="Times New Roman" w:hAnsi="Times New Roman" w:cs="Times New Roman"/>
          <w:sz w:val="20"/>
          <w:szCs w:val="20"/>
        </w:rPr>
        <w:t>.</w:t>
      </w:r>
      <w:r w:rsidRPr="00EF740A">
        <w:rPr>
          <w:rFonts w:ascii="Times New Roman" w:hAnsi="Times New Roman" w:cs="Times New Roman"/>
          <w:sz w:val="20"/>
          <w:szCs w:val="20"/>
        </w:rPr>
        <w:t>T</w:t>
      </w:r>
      <w:r>
        <w:rPr>
          <w:rFonts w:ascii="Times New Roman" w:hAnsi="Times New Roman" w:cs="Times New Roman"/>
          <w:sz w:val="20"/>
          <w:szCs w:val="20"/>
        </w:rPr>
        <w:t>.</w:t>
      </w:r>
      <w:r w:rsidRPr="00EF740A">
        <w:rPr>
          <w:rFonts w:ascii="Times New Roman" w:hAnsi="Times New Roman" w:cs="Times New Roman"/>
          <w:sz w:val="20"/>
          <w:szCs w:val="20"/>
        </w:rPr>
        <w:t>S</w:t>
      </w:r>
      <w:r>
        <w:rPr>
          <w:rFonts w:ascii="Times New Roman" w:hAnsi="Times New Roman" w:cs="Times New Roman"/>
          <w:sz w:val="20"/>
          <w:szCs w:val="20"/>
        </w:rPr>
        <w:t>.</w:t>
      </w:r>
      <w:r w:rsidRPr="00EF740A">
        <w:rPr>
          <w:rFonts w:ascii="Times New Roman" w:hAnsi="Times New Roman" w:cs="Times New Roman"/>
          <w:sz w:val="20"/>
          <w:szCs w:val="20"/>
        </w:rPr>
        <w:t xml:space="preserve"> 135/ [1958] A</w:t>
      </w:r>
      <w:r>
        <w:rPr>
          <w:rFonts w:ascii="Times New Roman" w:hAnsi="Times New Roman" w:cs="Times New Roman"/>
          <w:sz w:val="20"/>
          <w:szCs w:val="20"/>
        </w:rPr>
        <w:t>.</w:t>
      </w:r>
      <w:r w:rsidRPr="00EF740A">
        <w:rPr>
          <w:rFonts w:ascii="Times New Roman" w:hAnsi="Times New Roman" w:cs="Times New Roman"/>
          <w:sz w:val="20"/>
          <w:szCs w:val="20"/>
        </w:rPr>
        <w:t>T</w:t>
      </w:r>
      <w:r>
        <w:rPr>
          <w:rFonts w:ascii="Times New Roman" w:hAnsi="Times New Roman" w:cs="Times New Roman"/>
          <w:sz w:val="20"/>
          <w:szCs w:val="20"/>
        </w:rPr>
        <w:t>.</w:t>
      </w:r>
      <w:r w:rsidRPr="00EF740A">
        <w:rPr>
          <w:rFonts w:ascii="Times New Roman" w:hAnsi="Times New Roman" w:cs="Times New Roman"/>
          <w:sz w:val="20"/>
          <w:szCs w:val="20"/>
        </w:rPr>
        <w:t>S</w:t>
      </w:r>
      <w:r>
        <w:rPr>
          <w:rFonts w:ascii="Times New Roman" w:hAnsi="Times New Roman" w:cs="Times New Roman"/>
          <w:sz w:val="20"/>
          <w:szCs w:val="20"/>
        </w:rPr>
        <w:t>.</w:t>
      </w:r>
      <w:r w:rsidRPr="00EF740A">
        <w:rPr>
          <w:rFonts w:ascii="Times New Roman" w:hAnsi="Times New Roman" w:cs="Times New Roman"/>
          <w:sz w:val="20"/>
          <w:szCs w:val="20"/>
        </w:rPr>
        <w:t xml:space="preserve"> No</w:t>
      </w:r>
      <w:r>
        <w:rPr>
          <w:rFonts w:ascii="Times New Roman" w:hAnsi="Times New Roman" w:cs="Times New Roman"/>
          <w:sz w:val="20"/>
          <w:szCs w:val="20"/>
        </w:rPr>
        <w:t>.</w:t>
      </w:r>
      <w:r w:rsidRPr="00EF740A">
        <w:rPr>
          <w:rFonts w:ascii="Times New Roman" w:hAnsi="Times New Roman" w:cs="Times New Roman"/>
          <w:sz w:val="20"/>
          <w:szCs w:val="20"/>
        </w:rPr>
        <w:t xml:space="preserve"> 21 [hereinafter Geneva III]; 1949 Geneva Convention (IV) Relative to the Protection of Civilian Persons in Time of War, 75 U</w:t>
      </w:r>
      <w:r>
        <w:rPr>
          <w:rFonts w:ascii="Times New Roman" w:hAnsi="Times New Roman" w:cs="Times New Roman"/>
          <w:sz w:val="20"/>
          <w:szCs w:val="20"/>
        </w:rPr>
        <w:t>.</w:t>
      </w:r>
      <w:r w:rsidRPr="00EF740A">
        <w:rPr>
          <w:rFonts w:ascii="Times New Roman" w:hAnsi="Times New Roman" w:cs="Times New Roman"/>
          <w:sz w:val="20"/>
          <w:szCs w:val="20"/>
        </w:rPr>
        <w:t>N</w:t>
      </w:r>
      <w:r>
        <w:rPr>
          <w:rFonts w:ascii="Times New Roman" w:hAnsi="Times New Roman" w:cs="Times New Roman"/>
          <w:sz w:val="20"/>
          <w:szCs w:val="20"/>
        </w:rPr>
        <w:t>.</w:t>
      </w:r>
      <w:r w:rsidRPr="00EF740A">
        <w:rPr>
          <w:rFonts w:ascii="Times New Roman" w:hAnsi="Times New Roman" w:cs="Times New Roman"/>
          <w:sz w:val="20"/>
          <w:szCs w:val="20"/>
        </w:rPr>
        <w:t>T</w:t>
      </w:r>
      <w:r>
        <w:rPr>
          <w:rFonts w:ascii="Times New Roman" w:hAnsi="Times New Roman" w:cs="Times New Roman"/>
          <w:sz w:val="20"/>
          <w:szCs w:val="20"/>
        </w:rPr>
        <w:t>.</w:t>
      </w:r>
      <w:r w:rsidRPr="00EF740A">
        <w:rPr>
          <w:rFonts w:ascii="Times New Roman" w:hAnsi="Times New Roman" w:cs="Times New Roman"/>
          <w:sz w:val="20"/>
          <w:szCs w:val="20"/>
        </w:rPr>
        <w:t>S</w:t>
      </w:r>
      <w:r>
        <w:rPr>
          <w:rFonts w:ascii="Times New Roman" w:hAnsi="Times New Roman" w:cs="Times New Roman"/>
          <w:sz w:val="20"/>
          <w:szCs w:val="20"/>
        </w:rPr>
        <w:t>.</w:t>
      </w:r>
      <w:r w:rsidRPr="00EF740A">
        <w:rPr>
          <w:rFonts w:ascii="Times New Roman" w:hAnsi="Times New Roman" w:cs="Times New Roman"/>
          <w:sz w:val="20"/>
          <w:szCs w:val="20"/>
        </w:rPr>
        <w:t xml:space="preserve"> 287/ 1958 A</w:t>
      </w:r>
      <w:r>
        <w:rPr>
          <w:rFonts w:ascii="Times New Roman" w:hAnsi="Times New Roman" w:cs="Times New Roman"/>
          <w:sz w:val="20"/>
          <w:szCs w:val="20"/>
        </w:rPr>
        <w:t>.</w:t>
      </w:r>
      <w:r w:rsidRPr="00EF740A">
        <w:rPr>
          <w:rFonts w:ascii="Times New Roman" w:hAnsi="Times New Roman" w:cs="Times New Roman"/>
          <w:sz w:val="20"/>
          <w:szCs w:val="20"/>
        </w:rPr>
        <w:t>T</w:t>
      </w:r>
      <w:r>
        <w:rPr>
          <w:rFonts w:ascii="Times New Roman" w:hAnsi="Times New Roman" w:cs="Times New Roman"/>
          <w:sz w:val="20"/>
          <w:szCs w:val="20"/>
        </w:rPr>
        <w:t>.</w:t>
      </w:r>
      <w:r w:rsidRPr="00EF740A">
        <w:rPr>
          <w:rFonts w:ascii="Times New Roman" w:hAnsi="Times New Roman" w:cs="Times New Roman"/>
          <w:sz w:val="20"/>
          <w:szCs w:val="20"/>
        </w:rPr>
        <w:t>S</w:t>
      </w:r>
      <w:r>
        <w:rPr>
          <w:rFonts w:ascii="Times New Roman" w:hAnsi="Times New Roman" w:cs="Times New Roman"/>
          <w:sz w:val="20"/>
          <w:szCs w:val="20"/>
        </w:rPr>
        <w:t>.</w:t>
      </w:r>
      <w:r w:rsidRPr="00EF740A">
        <w:rPr>
          <w:rFonts w:ascii="Times New Roman" w:hAnsi="Times New Roman" w:cs="Times New Roman"/>
          <w:sz w:val="20"/>
          <w:szCs w:val="20"/>
        </w:rPr>
        <w:t xml:space="preserve"> No</w:t>
      </w:r>
      <w:r>
        <w:rPr>
          <w:rFonts w:ascii="Times New Roman" w:hAnsi="Times New Roman" w:cs="Times New Roman"/>
          <w:sz w:val="20"/>
          <w:szCs w:val="20"/>
        </w:rPr>
        <w:t>.</w:t>
      </w:r>
      <w:r w:rsidRPr="00EF740A">
        <w:rPr>
          <w:rFonts w:ascii="Times New Roman" w:hAnsi="Times New Roman" w:cs="Times New Roman"/>
          <w:sz w:val="20"/>
          <w:szCs w:val="20"/>
        </w:rPr>
        <w:t xml:space="preserve"> 21 [hereinafter Geneva IV]; </w:t>
      </w:r>
      <w:r w:rsidRPr="00EF740A">
        <w:rPr>
          <w:rFonts w:ascii="Times New Roman" w:hAnsi="Times New Roman" w:cs="Times New Roman"/>
          <w:smallCaps/>
          <w:sz w:val="20"/>
          <w:szCs w:val="20"/>
        </w:rPr>
        <w:t>Int</w:t>
      </w:r>
      <w:r>
        <w:rPr>
          <w:rFonts w:ascii="Times New Roman" w:hAnsi="Times New Roman" w:cs="Times New Roman"/>
          <w:smallCaps/>
          <w:sz w:val="20"/>
          <w:szCs w:val="20"/>
        </w:rPr>
        <w:t>’l</w:t>
      </w:r>
      <w:r w:rsidRPr="00EF740A">
        <w:rPr>
          <w:rFonts w:ascii="Times New Roman" w:hAnsi="Times New Roman" w:cs="Times New Roman"/>
          <w:smallCaps/>
          <w:sz w:val="20"/>
          <w:szCs w:val="20"/>
        </w:rPr>
        <w:t xml:space="preserve"> </w:t>
      </w:r>
      <w:proofErr w:type="spellStart"/>
      <w:r w:rsidRPr="00EF740A">
        <w:rPr>
          <w:rFonts w:ascii="Times New Roman" w:hAnsi="Times New Roman" w:cs="Times New Roman"/>
          <w:smallCaps/>
          <w:sz w:val="20"/>
          <w:szCs w:val="20"/>
        </w:rPr>
        <w:t>Comm</w:t>
      </w:r>
      <w:r>
        <w:rPr>
          <w:rFonts w:ascii="Times New Roman" w:hAnsi="Times New Roman" w:cs="Times New Roman"/>
          <w:smallCaps/>
          <w:sz w:val="20"/>
          <w:szCs w:val="20"/>
        </w:rPr>
        <w:t>’</w:t>
      </w:r>
      <w:r w:rsidRPr="00EF740A">
        <w:rPr>
          <w:rFonts w:ascii="Times New Roman" w:hAnsi="Times New Roman" w:cs="Times New Roman"/>
          <w:smallCaps/>
          <w:sz w:val="20"/>
          <w:szCs w:val="20"/>
        </w:rPr>
        <w:t>n</w:t>
      </w:r>
      <w:proofErr w:type="spellEnd"/>
      <w:r w:rsidRPr="00EF740A">
        <w:rPr>
          <w:rFonts w:ascii="Times New Roman" w:hAnsi="Times New Roman" w:cs="Times New Roman"/>
          <w:smallCaps/>
          <w:sz w:val="20"/>
          <w:szCs w:val="20"/>
        </w:rPr>
        <w:t xml:space="preserve"> on Intervention</w:t>
      </w:r>
      <w:r>
        <w:rPr>
          <w:rFonts w:ascii="Times New Roman" w:hAnsi="Times New Roman" w:cs="Times New Roman"/>
          <w:smallCaps/>
          <w:sz w:val="20"/>
          <w:szCs w:val="20"/>
        </w:rPr>
        <w:t xml:space="preserve"> and </w:t>
      </w:r>
      <w:r w:rsidRPr="00EF740A">
        <w:rPr>
          <w:rFonts w:ascii="Times New Roman" w:hAnsi="Times New Roman" w:cs="Times New Roman"/>
          <w:smallCaps/>
          <w:sz w:val="20"/>
          <w:szCs w:val="20"/>
        </w:rPr>
        <w:t>St</w:t>
      </w:r>
      <w:r>
        <w:rPr>
          <w:rFonts w:ascii="Times New Roman" w:hAnsi="Times New Roman" w:cs="Times New Roman"/>
          <w:smallCaps/>
          <w:sz w:val="20"/>
          <w:szCs w:val="20"/>
        </w:rPr>
        <w:t>.</w:t>
      </w:r>
      <w:r w:rsidRPr="00EF740A">
        <w:rPr>
          <w:rFonts w:ascii="Times New Roman" w:hAnsi="Times New Roman" w:cs="Times New Roman"/>
          <w:smallCaps/>
          <w:sz w:val="20"/>
          <w:szCs w:val="20"/>
        </w:rPr>
        <w:t xml:space="preserve"> Sovereignty</w:t>
      </w:r>
      <w:r>
        <w:rPr>
          <w:rFonts w:ascii="Times New Roman" w:hAnsi="Times New Roman" w:cs="Times New Roman"/>
          <w:smallCaps/>
          <w:sz w:val="20"/>
          <w:szCs w:val="20"/>
        </w:rPr>
        <w:t>, Report of the International Commission on Intervention and State Sovereignty: The</w:t>
      </w:r>
      <w:r w:rsidRPr="00EF740A">
        <w:rPr>
          <w:rFonts w:ascii="Times New Roman" w:hAnsi="Times New Roman" w:cs="Times New Roman"/>
          <w:smallCaps/>
          <w:sz w:val="20"/>
          <w:szCs w:val="20"/>
        </w:rPr>
        <w:t xml:space="preserve"> Responsibility to protect </w:t>
      </w:r>
      <w:r w:rsidRPr="00EF740A">
        <w:rPr>
          <w:rFonts w:ascii="Times New Roman" w:eastAsia="Times New Roman" w:hAnsi="Times New Roman" w:cs="Times New Roman"/>
          <w:sz w:val="20"/>
          <w:szCs w:val="20"/>
          <w:shd w:val="clear" w:color="auto" w:fill="FFFFFF"/>
        </w:rPr>
        <w:t>(2001), http://responsibilitytoprotect.org/ICISS%20Report.pdf.</w:t>
      </w:r>
      <w:r>
        <w:rPr>
          <w:rFonts w:ascii="Times New Roman" w:hAnsi="Times New Roman" w:cs="Times New Roman"/>
          <w:sz w:val="20"/>
          <w:szCs w:val="20"/>
        </w:rPr>
        <w:t xml:space="preserve"> </w:t>
      </w:r>
      <w:r w:rsidRPr="00EF740A">
        <w:rPr>
          <w:rFonts w:ascii="Times New Roman" w:hAnsi="Times New Roman" w:cs="Times New Roman"/>
          <w:sz w:val="20"/>
          <w:szCs w:val="20"/>
        </w:rPr>
        <w:t>[hereinafter ICISS]</w:t>
      </w:r>
      <w:r w:rsidRPr="00EF740A">
        <w:rPr>
          <w:rFonts w:ascii="Times New Roman" w:hAnsi="Times New Roman" w:cs="Times New Roman"/>
          <w:smallCaps/>
          <w:sz w:val="20"/>
          <w:szCs w:val="20"/>
        </w:rPr>
        <w:t xml:space="preserve">. </w:t>
      </w:r>
    </w:p>
  </w:footnote>
  <w:footnote w:id="6">
    <w:p w14:paraId="26B9C419" w14:textId="7B279807" w:rsidR="00802DBC" w:rsidRPr="00EF740A" w:rsidRDefault="00802DBC" w:rsidP="00EF740A">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EF740A">
        <w:rPr>
          <w:rFonts w:asciiTheme="majorBidi" w:hAnsiTheme="majorBidi" w:cstheme="majorBidi"/>
          <w:i/>
          <w:iCs/>
          <w:sz w:val="20"/>
          <w:szCs w:val="20"/>
        </w:rPr>
        <w:t>See generally</w:t>
      </w:r>
      <w:r>
        <w:rPr>
          <w:rFonts w:asciiTheme="majorBidi" w:hAnsiTheme="majorBidi" w:cstheme="majorBidi"/>
          <w:sz w:val="20"/>
          <w:szCs w:val="20"/>
        </w:rPr>
        <w:t xml:space="preserve"> </w:t>
      </w:r>
      <w:r w:rsidRPr="00EF740A">
        <w:rPr>
          <w:rFonts w:asciiTheme="majorBidi" w:hAnsiTheme="majorBidi" w:cstheme="majorBidi"/>
          <w:smallCaps/>
          <w:sz w:val="20"/>
          <w:szCs w:val="20"/>
        </w:rPr>
        <w:t>Scott Straus, Fundamentals of Genocide and Mass Atrocity Prevention</w:t>
      </w:r>
      <w:r w:rsidRPr="00EF740A">
        <w:rPr>
          <w:rFonts w:asciiTheme="majorBidi" w:hAnsiTheme="majorBidi" w:cstheme="majorBidi"/>
          <w:sz w:val="20"/>
          <w:szCs w:val="20"/>
        </w:rPr>
        <w:t xml:space="preserve"> (2016).</w:t>
      </w:r>
    </w:p>
  </w:footnote>
  <w:footnote w:id="7">
    <w:p w14:paraId="610A9A03" w14:textId="03EC2613" w:rsidR="00802DBC" w:rsidRPr="00EF740A" w:rsidRDefault="00802DBC" w:rsidP="000F1860">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The phrase “non-event” is used to describe events that did not happen. This is a phenomenon that exists across disciplines. </w:t>
      </w:r>
      <w:r w:rsidRPr="00EF740A">
        <w:rPr>
          <w:rFonts w:asciiTheme="majorBidi" w:hAnsiTheme="majorBidi" w:cstheme="majorBidi"/>
          <w:i/>
          <w:iCs/>
          <w:sz w:val="20"/>
          <w:szCs w:val="20"/>
        </w:rPr>
        <w:t>See</w:t>
      </w:r>
      <w:r w:rsidRPr="00EF740A">
        <w:rPr>
          <w:rFonts w:asciiTheme="majorBidi" w:hAnsiTheme="majorBidi" w:cstheme="majorBidi"/>
          <w:sz w:val="20"/>
          <w:szCs w:val="20"/>
        </w:rPr>
        <w:t xml:space="preserve"> John T. Morris, </w:t>
      </w:r>
      <w:r w:rsidRPr="00EF740A">
        <w:rPr>
          <w:rFonts w:asciiTheme="majorBidi" w:hAnsiTheme="majorBidi" w:cstheme="majorBidi"/>
          <w:i/>
          <w:iCs/>
          <w:sz w:val="20"/>
          <w:szCs w:val="20"/>
        </w:rPr>
        <w:t>Non-Events</w:t>
      </w:r>
      <w:r w:rsidRPr="00EF740A">
        <w:rPr>
          <w:rFonts w:asciiTheme="majorBidi" w:hAnsiTheme="majorBidi" w:cstheme="majorBidi"/>
          <w:sz w:val="20"/>
          <w:szCs w:val="20"/>
        </w:rPr>
        <w:t xml:space="preserve">, 34 </w:t>
      </w:r>
      <w:r w:rsidRPr="00EF740A">
        <w:rPr>
          <w:rFonts w:asciiTheme="majorBidi" w:hAnsiTheme="majorBidi" w:cstheme="majorBidi"/>
          <w:smallCaps/>
          <w:sz w:val="20"/>
          <w:szCs w:val="20"/>
        </w:rPr>
        <w:t>Philosophical Stud</w:t>
      </w:r>
      <w:r>
        <w:rPr>
          <w:rFonts w:asciiTheme="majorBidi" w:hAnsiTheme="majorBidi" w:cstheme="majorBidi"/>
          <w:smallCaps/>
          <w:sz w:val="20"/>
          <w:szCs w:val="20"/>
        </w:rPr>
        <w:t>.</w:t>
      </w:r>
      <w:r w:rsidRPr="00EF740A">
        <w:rPr>
          <w:rFonts w:asciiTheme="majorBidi" w:hAnsiTheme="majorBidi" w:cstheme="majorBidi"/>
          <w:smallCaps/>
          <w:sz w:val="20"/>
          <w:szCs w:val="20"/>
        </w:rPr>
        <w:t>: Int</w:t>
      </w:r>
      <w:r>
        <w:rPr>
          <w:rFonts w:asciiTheme="majorBidi" w:hAnsiTheme="majorBidi" w:cstheme="majorBidi"/>
          <w:smallCaps/>
          <w:sz w:val="20"/>
          <w:szCs w:val="20"/>
        </w:rPr>
        <w:t>’</w:t>
      </w:r>
      <w:r w:rsidRPr="00EF740A">
        <w:rPr>
          <w:rFonts w:asciiTheme="majorBidi" w:hAnsiTheme="majorBidi" w:cstheme="majorBidi"/>
          <w:smallCaps/>
          <w:sz w:val="20"/>
          <w:szCs w:val="20"/>
        </w:rPr>
        <w:t>l J</w:t>
      </w:r>
      <w:r>
        <w:rPr>
          <w:rFonts w:asciiTheme="majorBidi" w:hAnsiTheme="majorBidi" w:cstheme="majorBidi"/>
          <w:smallCaps/>
          <w:sz w:val="20"/>
          <w:szCs w:val="20"/>
        </w:rPr>
        <w:t>.</w:t>
      </w:r>
      <w:r w:rsidRPr="00EF740A">
        <w:rPr>
          <w:rFonts w:asciiTheme="majorBidi" w:hAnsiTheme="majorBidi" w:cstheme="majorBidi"/>
          <w:smallCaps/>
          <w:sz w:val="20"/>
          <w:szCs w:val="20"/>
        </w:rPr>
        <w:t xml:space="preserve"> for Phil</w:t>
      </w:r>
      <w:r>
        <w:rPr>
          <w:rFonts w:asciiTheme="majorBidi" w:hAnsiTheme="majorBidi" w:cstheme="majorBidi"/>
          <w:smallCaps/>
          <w:sz w:val="20"/>
          <w:szCs w:val="20"/>
        </w:rPr>
        <w:t>.</w:t>
      </w:r>
      <w:r w:rsidRPr="00EF740A">
        <w:rPr>
          <w:rFonts w:asciiTheme="majorBidi" w:hAnsiTheme="majorBidi" w:cstheme="majorBidi"/>
          <w:smallCaps/>
          <w:sz w:val="20"/>
          <w:szCs w:val="20"/>
        </w:rPr>
        <w:t xml:space="preserve"> Analytic Tradition</w:t>
      </w:r>
      <w:r w:rsidRPr="00EF740A">
        <w:rPr>
          <w:rFonts w:asciiTheme="majorBidi" w:hAnsiTheme="majorBidi" w:cstheme="majorBidi"/>
          <w:sz w:val="20"/>
          <w:szCs w:val="20"/>
        </w:rPr>
        <w:t xml:space="preserve"> 321</w:t>
      </w:r>
      <w:r>
        <w:rPr>
          <w:rFonts w:asciiTheme="majorBidi" w:hAnsiTheme="majorBidi" w:cstheme="majorBidi"/>
          <w:sz w:val="20"/>
          <w:szCs w:val="20"/>
        </w:rPr>
        <w:t>, 321</w:t>
      </w:r>
      <w:r>
        <w:rPr>
          <w:rFonts w:ascii="Times New Roman" w:hAnsi="Times New Roman" w:cs="Times New Roman"/>
          <w:sz w:val="20"/>
          <w:szCs w:val="20"/>
        </w:rPr>
        <w:t>–</w:t>
      </w:r>
      <w:r>
        <w:rPr>
          <w:rFonts w:asciiTheme="majorBidi" w:hAnsiTheme="majorBidi" w:cstheme="majorBidi"/>
          <w:sz w:val="20"/>
          <w:szCs w:val="20"/>
        </w:rPr>
        <w:t>324</w:t>
      </w:r>
      <w:r w:rsidRPr="00EF740A">
        <w:rPr>
          <w:rFonts w:asciiTheme="majorBidi" w:hAnsiTheme="majorBidi" w:cstheme="majorBidi"/>
          <w:sz w:val="20"/>
          <w:szCs w:val="20"/>
        </w:rPr>
        <w:t xml:space="preserve"> (1978). </w:t>
      </w:r>
    </w:p>
  </w:footnote>
  <w:footnote w:id="8">
    <w:p w14:paraId="2229F0D3" w14:textId="7FFDC06A" w:rsidR="00802DBC" w:rsidRPr="00EF740A" w:rsidRDefault="00802DBC" w:rsidP="00EF740A">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EF740A">
        <w:rPr>
          <w:rFonts w:asciiTheme="majorBidi" w:hAnsiTheme="majorBidi" w:cstheme="majorBidi"/>
          <w:i/>
          <w:iCs/>
          <w:sz w:val="20"/>
          <w:szCs w:val="20"/>
        </w:rPr>
        <w:t>See generally id</w:t>
      </w:r>
      <w:r w:rsidRPr="00EF740A">
        <w:rPr>
          <w:rFonts w:asciiTheme="majorBidi" w:hAnsiTheme="majorBidi" w:cstheme="majorBidi"/>
          <w:sz w:val="20"/>
          <w:szCs w:val="20"/>
        </w:rPr>
        <w:t>.</w:t>
      </w:r>
    </w:p>
  </w:footnote>
  <w:footnote w:id="9">
    <w:p w14:paraId="49419C8F" w14:textId="0017581F" w:rsidR="00802DBC" w:rsidRPr="00EF740A" w:rsidRDefault="00802DBC" w:rsidP="00EF740A">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EF740A">
        <w:rPr>
          <w:rFonts w:asciiTheme="majorBidi" w:hAnsiTheme="majorBidi" w:cstheme="majorBidi"/>
          <w:i/>
          <w:iCs/>
          <w:sz w:val="20"/>
          <w:szCs w:val="20"/>
        </w:rPr>
        <w:t>See</w:t>
      </w:r>
      <w:r w:rsidRPr="00EF740A">
        <w:rPr>
          <w:rFonts w:asciiTheme="majorBidi" w:hAnsiTheme="majorBidi" w:cstheme="majorBidi"/>
          <w:sz w:val="20"/>
          <w:szCs w:val="20"/>
        </w:rPr>
        <w:t xml:space="preserve"> </w:t>
      </w:r>
      <w:r w:rsidRPr="006652F2">
        <w:rPr>
          <w:rFonts w:asciiTheme="majorBidi" w:hAnsiTheme="majorBidi" w:cstheme="majorBidi"/>
          <w:i/>
          <w:sz w:val="20"/>
          <w:szCs w:val="20"/>
        </w:rPr>
        <w:t>infra</w:t>
      </w:r>
      <w:r>
        <w:rPr>
          <w:rFonts w:asciiTheme="majorBidi" w:hAnsiTheme="majorBidi" w:cstheme="majorBidi"/>
          <w:sz w:val="20"/>
          <w:szCs w:val="20"/>
        </w:rPr>
        <w:t xml:space="preserve"> </w:t>
      </w:r>
      <w:r w:rsidRPr="006652F2">
        <w:rPr>
          <w:rFonts w:asciiTheme="majorBidi" w:hAnsiTheme="majorBidi" w:cstheme="majorBidi"/>
          <w:sz w:val="20"/>
          <w:szCs w:val="20"/>
        </w:rPr>
        <w:t>Section</w:t>
      </w:r>
      <w:r w:rsidRPr="00EF740A">
        <w:rPr>
          <w:rFonts w:asciiTheme="majorBidi" w:hAnsiTheme="majorBidi" w:cstheme="majorBidi"/>
          <w:sz w:val="20"/>
          <w:szCs w:val="20"/>
        </w:rPr>
        <w:t xml:space="preserve"> II (A).</w:t>
      </w:r>
    </w:p>
  </w:footnote>
  <w:footnote w:id="10">
    <w:p w14:paraId="751FFF66" w14:textId="7748918F" w:rsidR="00802DBC" w:rsidRPr="00EF740A" w:rsidRDefault="00802DBC" w:rsidP="00EF740A">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EF740A">
        <w:rPr>
          <w:rFonts w:asciiTheme="majorBidi" w:hAnsiTheme="majorBidi" w:cstheme="majorBidi"/>
          <w:i/>
          <w:iCs/>
          <w:sz w:val="20"/>
          <w:szCs w:val="20"/>
        </w:rPr>
        <w:t>See infra</w:t>
      </w:r>
      <w:r w:rsidRPr="00EF740A">
        <w:rPr>
          <w:rFonts w:asciiTheme="majorBidi" w:hAnsiTheme="majorBidi" w:cstheme="majorBidi"/>
          <w:sz w:val="20"/>
          <w:szCs w:val="20"/>
        </w:rPr>
        <w:t xml:space="preserve"> Section II (B).</w:t>
      </w:r>
    </w:p>
  </w:footnote>
  <w:footnote w:id="11">
    <w:p w14:paraId="2C00CA1D" w14:textId="0F53E07E" w:rsidR="00802DBC" w:rsidRPr="00CA2399" w:rsidRDefault="00802DBC" w:rsidP="00D557C3">
      <w:pPr>
        <w:pStyle w:val="FootnoteText"/>
        <w:ind w:firstLine="144"/>
        <w:jc w:val="both"/>
        <w:rPr>
          <w:rFonts w:asciiTheme="majorBidi" w:hAnsiTheme="majorBidi" w:cstheme="majorBidi"/>
          <w:iCs/>
          <w:sz w:val="20"/>
          <w:szCs w:val="20"/>
        </w:rPr>
      </w:pPr>
      <w:r w:rsidRPr="00CA2399">
        <w:rPr>
          <w:rStyle w:val="FootnoteReference"/>
          <w:rFonts w:asciiTheme="majorBidi" w:hAnsiTheme="majorBidi" w:cstheme="majorBidi"/>
          <w:sz w:val="20"/>
          <w:szCs w:val="20"/>
        </w:rPr>
        <w:footnoteRef/>
      </w:r>
      <w:r w:rsidRPr="00CA2399">
        <w:rPr>
          <w:rFonts w:asciiTheme="majorBidi" w:hAnsiTheme="majorBidi" w:cstheme="majorBidi"/>
          <w:sz w:val="20"/>
          <w:szCs w:val="20"/>
        </w:rPr>
        <w:t xml:space="preserve"> For further reading</w:t>
      </w:r>
      <w:r w:rsidRPr="00DE2931">
        <w:rPr>
          <w:rFonts w:asciiTheme="majorBidi" w:hAnsiTheme="majorBidi" w:cstheme="majorBidi"/>
          <w:sz w:val="20"/>
          <w:szCs w:val="20"/>
        </w:rPr>
        <w:t xml:space="preserve">, </w:t>
      </w:r>
      <w:r w:rsidRPr="00CA6605">
        <w:rPr>
          <w:rFonts w:asciiTheme="majorBidi" w:hAnsiTheme="majorBidi" w:cstheme="majorBidi"/>
          <w:iCs/>
          <w:sz w:val="20"/>
          <w:szCs w:val="20"/>
        </w:rPr>
        <w:t>see</w:t>
      </w:r>
      <w:r w:rsidRPr="00CA2399">
        <w:rPr>
          <w:rFonts w:asciiTheme="majorBidi" w:hAnsiTheme="majorBidi" w:cstheme="majorBidi"/>
          <w:sz w:val="20"/>
          <w:szCs w:val="20"/>
        </w:rPr>
        <w:t xml:space="preserve"> </w:t>
      </w:r>
      <w:r w:rsidRPr="00DE2931">
        <w:rPr>
          <w:rFonts w:asciiTheme="majorBidi" w:hAnsiTheme="majorBidi" w:cstheme="majorBidi"/>
          <w:i/>
          <w:iCs/>
          <w:sz w:val="20"/>
          <w:szCs w:val="20"/>
        </w:rPr>
        <w:t>Past Genocides and Mass Atrocities,</w:t>
      </w:r>
      <w:r w:rsidRPr="00CA2399">
        <w:rPr>
          <w:rFonts w:asciiTheme="majorBidi" w:hAnsiTheme="majorBidi" w:cstheme="majorBidi"/>
          <w:smallCaps/>
          <w:sz w:val="20"/>
          <w:szCs w:val="20"/>
        </w:rPr>
        <w:t xml:space="preserve"> United to End Genocide</w:t>
      </w:r>
      <w:r w:rsidRPr="00CA2399">
        <w:rPr>
          <w:rFonts w:asciiTheme="majorBidi" w:hAnsiTheme="majorBidi" w:cstheme="majorBidi"/>
          <w:sz w:val="20"/>
          <w:szCs w:val="20"/>
        </w:rPr>
        <w:t>,</w:t>
      </w:r>
      <w:r w:rsidRPr="00CA2399">
        <w:rPr>
          <w:rFonts w:asciiTheme="majorBidi" w:hAnsiTheme="majorBidi" w:cstheme="majorBidi"/>
          <w:i/>
          <w:iCs/>
          <w:sz w:val="20"/>
          <w:szCs w:val="20"/>
        </w:rPr>
        <w:t xml:space="preserve"> </w:t>
      </w:r>
      <w:r w:rsidRPr="00CA2399">
        <w:rPr>
          <w:rFonts w:asciiTheme="majorBidi" w:hAnsiTheme="majorBidi" w:cstheme="majorBidi"/>
          <w:sz w:val="20"/>
          <w:szCs w:val="20"/>
        </w:rPr>
        <w:t>http://endgenocide.org/learn/pa</w:t>
      </w:r>
      <w:r>
        <w:rPr>
          <w:rFonts w:asciiTheme="majorBidi" w:hAnsiTheme="majorBidi" w:cstheme="majorBidi"/>
          <w:sz w:val="20"/>
          <w:szCs w:val="20"/>
        </w:rPr>
        <w:t>st-genocides/ (last visited Aug. 22, 2017</w:t>
      </w:r>
      <w:r w:rsidRPr="00CA2399">
        <w:rPr>
          <w:rFonts w:asciiTheme="majorBidi" w:hAnsiTheme="majorBidi" w:cstheme="majorBidi"/>
          <w:sz w:val="20"/>
          <w:szCs w:val="20"/>
        </w:rPr>
        <w:t xml:space="preserve">); </w:t>
      </w:r>
      <w:r>
        <w:rPr>
          <w:rFonts w:asciiTheme="majorBidi" w:hAnsiTheme="majorBidi" w:cstheme="majorBidi"/>
          <w:i/>
          <w:sz w:val="20"/>
          <w:szCs w:val="20"/>
        </w:rPr>
        <w:t>s</w:t>
      </w:r>
      <w:r w:rsidRPr="00CA2399">
        <w:rPr>
          <w:rFonts w:asciiTheme="majorBidi" w:hAnsiTheme="majorBidi" w:cstheme="majorBidi"/>
          <w:i/>
          <w:sz w:val="20"/>
          <w:szCs w:val="20"/>
        </w:rPr>
        <w:t>ee also</w:t>
      </w:r>
      <w:r w:rsidRPr="00CA2399">
        <w:rPr>
          <w:rFonts w:asciiTheme="majorBidi" w:hAnsiTheme="majorBidi" w:cstheme="majorBidi"/>
          <w:iCs/>
          <w:sz w:val="20"/>
          <w:szCs w:val="20"/>
        </w:rPr>
        <w:t xml:space="preserve"> </w:t>
      </w:r>
      <w:r w:rsidRPr="00A7665A">
        <w:rPr>
          <w:rFonts w:asciiTheme="majorBidi" w:hAnsiTheme="majorBidi" w:cstheme="majorBidi"/>
          <w:i/>
          <w:sz w:val="20"/>
          <w:szCs w:val="20"/>
        </w:rPr>
        <w:t>Watch List</w:t>
      </w:r>
      <w:r w:rsidRPr="00CA2399">
        <w:rPr>
          <w:rFonts w:asciiTheme="majorBidi" w:hAnsiTheme="majorBidi" w:cstheme="majorBidi"/>
          <w:iCs/>
          <w:sz w:val="20"/>
          <w:szCs w:val="20"/>
        </w:rPr>
        <w:t xml:space="preserve">, </w:t>
      </w:r>
      <w:r w:rsidRPr="00CA2399">
        <w:rPr>
          <w:rFonts w:asciiTheme="majorBidi" w:hAnsiTheme="majorBidi" w:cstheme="majorBidi"/>
          <w:iCs/>
          <w:smallCaps/>
          <w:sz w:val="20"/>
          <w:szCs w:val="20"/>
        </w:rPr>
        <w:t>United to End Genocide,</w:t>
      </w:r>
      <w:r w:rsidRPr="00CA2399">
        <w:rPr>
          <w:rFonts w:asciiTheme="majorBidi" w:hAnsiTheme="majorBidi" w:cstheme="majorBidi"/>
          <w:iCs/>
          <w:sz w:val="20"/>
          <w:szCs w:val="20"/>
        </w:rPr>
        <w:t xml:space="preserve"> http://endgenocide.org/whos-at-</w:t>
      </w:r>
      <w:r>
        <w:rPr>
          <w:rFonts w:asciiTheme="majorBidi" w:hAnsiTheme="majorBidi" w:cstheme="majorBidi"/>
          <w:iCs/>
          <w:sz w:val="20"/>
          <w:szCs w:val="20"/>
        </w:rPr>
        <w:t>risk/watch-list/ (last visited Aug. 22, 2017</w:t>
      </w:r>
      <w:r w:rsidRPr="00CA2399">
        <w:rPr>
          <w:rFonts w:asciiTheme="majorBidi" w:hAnsiTheme="majorBidi" w:cstheme="majorBidi"/>
          <w:iCs/>
          <w:sz w:val="20"/>
          <w:szCs w:val="20"/>
        </w:rPr>
        <w:t xml:space="preserve">); </w:t>
      </w:r>
      <w:r w:rsidRPr="00CA2399">
        <w:rPr>
          <w:rFonts w:asciiTheme="majorBidi" w:hAnsiTheme="majorBidi" w:cstheme="majorBidi"/>
          <w:i/>
          <w:sz w:val="20"/>
          <w:szCs w:val="20"/>
        </w:rPr>
        <w:t>Alerts and Warnings</w:t>
      </w:r>
      <w:r w:rsidRPr="00CA2399">
        <w:rPr>
          <w:rFonts w:asciiTheme="majorBidi" w:hAnsiTheme="majorBidi" w:cstheme="majorBidi"/>
          <w:iCs/>
          <w:sz w:val="20"/>
          <w:szCs w:val="20"/>
        </w:rPr>
        <w:t xml:space="preserve">, </w:t>
      </w:r>
      <w:r w:rsidRPr="00CA2399">
        <w:rPr>
          <w:rFonts w:asciiTheme="majorBidi" w:hAnsiTheme="majorBidi" w:cstheme="majorBidi"/>
          <w:iCs/>
          <w:smallCaps/>
          <w:sz w:val="20"/>
          <w:szCs w:val="20"/>
        </w:rPr>
        <w:t xml:space="preserve">U.S. </w:t>
      </w:r>
      <w:r>
        <w:rPr>
          <w:rFonts w:asciiTheme="majorBidi" w:hAnsiTheme="majorBidi" w:cstheme="majorBidi"/>
          <w:iCs/>
          <w:smallCaps/>
          <w:sz w:val="20"/>
          <w:szCs w:val="20"/>
        </w:rPr>
        <w:t xml:space="preserve">Dept. of St.: </w:t>
      </w:r>
      <w:r w:rsidRPr="00CA2399">
        <w:rPr>
          <w:rFonts w:asciiTheme="majorBidi" w:hAnsiTheme="majorBidi" w:cstheme="majorBidi"/>
          <w:iCs/>
          <w:smallCaps/>
          <w:sz w:val="20"/>
          <w:szCs w:val="20"/>
        </w:rPr>
        <w:t>Passports and Int</w:t>
      </w:r>
      <w:r>
        <w:rPr>
          <w:rFonts w:asciiTheme="majorBidi" w:hAnsiTheme="majorBidi" w:cstheme="majorBidi"/>
          <w:iCs/>
          <w:smallCaps/>
          <w:sz w:val="20"/>
          <w:szCs w:val="20"/>
        </w:rPr>
        <w:t>’</w:t>
      </w:r>
      <w:r w:rsidRPr="00CA2399">
        <w:rPr>
          <w:rFonts w:asciiTheme="majorBidi" w:hAnsiTheme="majorBidi" w:cstheme="majorBidi"/>
          <w:iCs/>
          <w:smallCaps/>
          <w:sz w:val="20"/>
          <w:szCs w:val="20"/>
        </w:rPr>
        <w:t>l Travel</w:t>
      </w:r>
      <w:r w:rsidRPr="00CA2399">
        <w:rPr>
          <w:rFonts w:asciiTheme="majorBidi" w:hAnsiTheme="majorBidi" w:cstheme="majorBidi"/>
          <w:iCs/>
          <w:sz w:val="20"/>
          <w:szCs w:val="20"/>
        </w:rPr>
        <w:t xml:space="preserve">, </w:t>
      </w:r>
      <w:r w:rsidRPr="00CA2399">
        <w:rPr>
          <w:rFonts w:ascii="Times New Roman" w:hAnsi="Times New Roman" w:cs="Times New Roman"/>
          <w:sz w:val="20"/>
          <w:szCs w:val="20"/>
        </w:rPr>
        <w:t>https://travel.state.gov/content/passports/en/alertswarnings.html</w:t>
      </w:r>
      <w:r w:rsidRPr="00CA2399">
        <w:rPr>
          <w:rFonts w:asciiTheme="majorBidi" w:hAnsiTheme="majorBidi" w:cstheme="majorBidi"/>
          <w:iCs/>
          <w:sz w:val="20"/>
          <w:szCs w:val="20"/>
        </w:rPr>
        <w:t xml:space="preserve"> (last visited </w:t>
      </w:r>
      <w:r>
        <w:rPr>
          <w:rFonts w:asciiTheme="majorBidi" w:hAnsiTheme="majorBidi" w:cstheme="majorBidi"/>
          <w:iCs/>
          <w:sz w:val="20"/>
          <w:szCs w:val="20"/>
        </w:rPr>
        <w:t>Oct. 8, 2016</w:t>
      </w:r>
      <w:r w:rsidRPr="00CA2399">
        <w:rPr>
          <w:rFonts w:asciiTheme="majorBidi" w:hAnsiTheme="majorBidi" w:cstheme="majorBidi"/>
          <w:iCs/>
          <w:sz w:val="20"/>
          <w:szCs w:val="20"/>
        </w:rPr>
        <w:t xml:space="preserve">) (this is a list of </w:t>
      </w:r>
      <w:r>
        <w:rPr>
          <w:rFonts w:asciiTheme="majorBidi" w:hAnsiTheme="majorBidi" w:cstheme="majorBidi"/>
          <w:iCs/>
          <w:sz w:val="20"/>
          <w:szCs w:val="20"/>
        </w:rPr>
        <w:t>countries</w:t>
      </w:r>
      <w:r w:rsidRPr="00CA2399">
        <w:rPr>
          <w:rFonts w:asciiTheme="majorBidi" w:hAnsiTheme="majorBidi" w:cstheme="majorBidi"/>
          <w:iCs/>
          <w:sz w:val="20"/>
          <w:szCs w:val="20"/>
        </w:rPr>
        <w:t xml:space="preserve"> which the </w:t>
      </w:r>
      <w:r>
        <w:rPr>
          <w:rFonts w:asciiTheme="majorBidi" w:hAnsiTheme="majorBidi" w:cstheme="majorBidi"/>
          <w:iCs/>
          <w:sz w:val="20"/>
          <w:szCs w:val="20"/>
        </w:rPr>
        <w:t xml:space="preserve">U.S. </w:t>
      </w:r>
      <w:r w:rsidRPr="00CA2399">
        <w:rPr>
          <w:rFonts w:asciiTheme="majorBidi" w:hAnsiTheme="majorBidi" w:cstheme="majorBidi"/>
          <w:iCs/>
          <w:sz w:val="20"/>
          <w:szCs w:val="20"/>
        </w:rPr>
        <w:t xml:space="preserve">State Department recommends avoiding due to violent conflict and political instability—the website also provides a description of the situation in each state listed, and it can be deduced from these descriptions which states are currently experiencing atrocity crimes); </w:t>
      </w:r>
      <w:r w:rsidRPr="00CA2399">
        <w:rPr>
          <w:rFonts w:asciiTheme="majorBidi" w:hAnsiTheme="majorBidi" w:cstheme="majorBidi"/>
          <w:i/>
          <w:sz w:val="20"/>
          <w:szCs w:val="20"/>
        </w:rPr>
        <w:t>Situations Under Investigation</w:t>
      </w:r>
      <w:r w:rsidRPr="00CA2399">
        <w:rPr>
          <w:rFonts w:asciiTheme="majorBidi" w:hAnsiTheme="majorBidi" w:cstheme="majorBidi"/>
          <w:iCs/>
          <w:sz w:val="20"/>
          <w:szCs w:val="20"/>
        </w:rPr>
        <w:t xml:space="preserve">, </w:t>
      </w:r>
      <w:r w:rsidRPr="00CA2399">
        <w:rPr>
          <w:rFonts w:asciiTheme="majorBidi" w:hAnsiTheme="majorBidi" w:cstheme="majorBidi"/>
          <w:iCs/>
          <w:smallCaps/>
          <w:sz w:val="20"/>
          <w:szCs w:val="20"/>
        </w:rPr>
        <w:t>Int</w:t>
      </w:r>
      <w:r>
        <w:rPr>
          <w:rFonts w:asciiTheme="majorBidi" w:hAnsiTheme="majorBidi" w:cstheme="majorBidi"/>
          <w:iCs/>
          <w:smallCaps/>
          <w:sz w:val="20"/>
          <w:szCs w:val="20"/>
        </w:rPr>
        <w:t>’l</w:t>
      </w:r>
      <w:r w:rsidRPr="00CA2399">
        <w:rPr>
          <w:rFonts w:asciiTheme="majorBidi" w:hAnsiTheme="majorBidi" w:cstheme="majorBidi"/>
          <w:iCs/>
          <w:smallCaps/>
          <w:sz w:val="20"/>
          <w:szCs w:val="20"/>
        </w:rPr>
        <w:t xml:space="preserve"> </w:t>
      </w:r>
      <w:r>
        <w:rPr>
          <w:rFonts w:asciiTheme="majorBidi" w:hAnsiTheme="majorBidi" w:cstheme="majorBidi"/>
          <w:iCs/>
          <w:smallCaps/>
          <w:sz w:val="20"/>
          <w:szCs w:val="20"/>
        </w:rPr>
        <w:t>Crim. Ct.</w:t>
      </w:r>
      <w:r w:rsidRPr="00CA2399">
        <w:rPr>
          <w:rFonts w:asciiTheme="majorBidi" w:hAnsiTheme="majorBidi" w:cstheme="majorBidi"/>
          <w:iCs/>
          <w:sz w:val="20"/>
          <w:szCs w:val="20"/>
        </w:rPr>
        <w:t>, https://www.icc-cpi.int/Pages</w:t>
      </w:r>
      <w:r>
        <w:rPr>
          <w:rFonts w:asciiTheme="majorBidi" w:hAnsiTheme="majorBidi" w:cstheme="majorBidi"/>
          <w:iCs/>
          <w:sz w:val="20"/>
          <w:szCs w:val="20"/>
        </w:rPr>
        <w:t>/Situations.aspx (last visited Oct. 8, 2016</w:t>
      </w:r>
      <w:r w:rsidRPr="00CA2399">
        <w:rPr>
          <w:rFonts w:asciiTheme="majorBidi" w:hAnsiTheme="majorBidi" w:cstheme="majorBidi"/>
          <w:iCs/>
          <w:sz w:val="20"/>
          <w:szCs w:val="20"/>
        </w:rPr>
        <w:t xml:space="preserve">); </w:t>
      </w:r>
      <w:r w:rsidRPr="00CA2399">
        <w:rPr>
          <w:rFonts w:asciiTheme="majorBidi" w:hAnsiTheme="majorBidi" w:cstheme="majorBidi"/>
          <w:i/>
          <w:sz w:val="20"/>
          <w:szCs w:val="20"/>
        </w:rPr>
        <w:t>Preliminary Examinations</w:t>
      </w:r>
      <w:r w:rsidRPr="00CA2399">
        <w:rPr>
          <w:rFonts w:asciiTheme="majorBidi" w:hAnsiTheme="majorBidi" w:cstheme="majorBidi"/>
          <w:iCs/>
          <w:sz w:val="20"/>
          <w:szCs w:val="20"/>
        </w:rPr>
        <w:t xml:space="preserve">, </w:t>
      </w:r>
      <w:r w:rsidRPr="00CA2399">
        <w:rPr>
          <w:rFonts w:asciiTheme="majorBidi" w:hAnsiTheme="majorBidi" w:cstheme="majorBidi"/>
          <w:iCs/>
          <w:smallCaps/>
          <w:sz w:val="20"/>
          <w:szCs w:val="20"/>
        </w:rPr>
        <w:t>Int</w:t>
      </w:r>
      <w:r>
        <w:rPr>
          <w:rFonts w:asciiTheme="majorBidi" w:hAnsiTheme="majorBidi" w:cstheme="majorBidi"/>
          <w:iCs/>
          <w:smallCaps/>
          <w:sz w:val="20"/>
          <w:szCs w:val="20"/>
        </w:rPr>
        <w:t>’l</w:t>
      </w:r>
      <w:r w:rsidRPr="00CA2399">
        <w:rPr>
          <w:rFonts w:asciiTheme="majorBidi" w:hAnsiTheme="majorBidi" w:cstheme="majorBidi"/>
          <w:iCs/>
          <w:smallCaps/>
          <w:sz w:val="20"/>
          <w:szCs w:val="20"/>
        </w:rPr>
        <w:t xml:space="preserve"> </w:t>
      </w:r>
      <w:r>
        <w:rPr>
          <w:rFonts w:asciiTheme="majorBidi" w:hAnsiTheme="majorBidi" w:cstheme="majorBidi"/>
          <w:iCs/>
          <w:smallCaps/>
          <w:sz w:val="20"/>
          <w:szCs w:val="20"/>
        </w:rPr>
        <w:t>Crim. Ct.</w:t>
      </w:r>
      <w:r>
        <w:rPr>
          <w:rFonts w:asciiTheme="majorBidi" w:hAnsiTheme="majorBidi" w:cstheme="majorBidi"/>
          <w:iCs/>
          <w:sz w:val="20"/>
          <w:szCs w:val="20"/>
        </w:rPr>
        <w:t xml:space="preserve">, </w:t>
      </w:r>
      <w:r w:rsidRPr="00CA2399">
        <w:rPr>
          <w:rFonts w:asciiTheme="majorBidi" w:hAnsiTheme="majorBidi" w:cstheme="majorBidi"/>
          <w:iCs/>
          <w:sz w:val="20"/>
          <w:szCs w:val="20"/>
        </w:rPr>
        <w:t>https://www.icc-cpi.int/Pages/Preliminary-Examinations.aspx (last visited</w:t>
      </w:r>
      <w:r>
        <w:rPr>
          <w:rFonts w:asciiTheme="majorBidi" w:hAnsiTheme="majorBidi" w:cstheme="majorBidi"/>
          <w:iCs/>
          <w:sz w:val="20"/>
          <w:szCs w:val="20"/>
        </w:rPr>
        <w:t xml:space="preserve"> Oct. 8, 2016</w:t>
      </w:r>
      <w:r w:rsidRPr="00CA2399">
        <w:rPr>
          <w:rFonts w:asciiTheme="majorBidi" w:hAnsiTheme="majorBidi" w:cstheme="majorBidi"/>
          <w:iCs/>
          <w:sz w:val="20"/>
          <w:szCs w:val="20"/>
        </w:rPr>
        <w:t>).</w:t>
      </w:r>
    </w:p>
  </w:footnote>
  <w:footnote w:id="12">
    <w:p w14:paraId="7CDF8CB9" w14:textId="6691A714" w:rsidR="00802DBC" w:rsidRPr="00CA2399" w:rsidRDefault="00802DBC" w:rsidP="00C4341B">
      <w:pPr>
        <w:pStyle w:val="FootnoteText"/>
        <w:ind w:firstLine="144"/>
        <w:jc w:val="both"/>
        <w:rPr>
          <w:rFonts w:asciiTheme="majorBidi" w:hAnsiTheme="majorBidi" w:cstheme="majorBidi"/>
          <w:sz w:val="20"/>
          <w:szCs w:val="20"/>
        </w:rPr>
      </w:pPr>
      <w:r w:rsidRPr="00CA2399">
        <w:rPr>
          <w:rStyle w:val="FootnoteReference"/>
          <w:rFonts w:asciiTheme="majorBidi" w:hAnsiTheme="majorBidi" w:cstheme="majorBidi"/>
          <w:sz w:val="20"/>
          <w:szCs w:val="20"/>
        </w:rPr>
        <w:footnoteRef/>
      </w:r>
      <w:r w:rsidRPr="00CA2399">
        <w:rPr>
          <w:rFonts w:asciiTheme="majorBidi" w:hAnsiTheme="majorBidi" w:cstheme="majorBidi"/>
          <w:sz w:val="20"/>
          <w:szCs w:val="20"/>
        </w:rPr>
        <w:t xml:space="preserve"> “At a time when international capacity to respond to current crises is strained, it is imperative that Member States and other international actors devote more energy and resources to effective prevention and accelerate efforts to put an end to the ongoing perpetration of such crimes.” </w:t>
      </w:r>
      <w:r>
        <w:rPr>
          <w:rFonts w:asciiTheme="majorBidi" w:hAnsiTheme="majorBidi" w:cstheme="majorBidi"/>
          <w:sz w:val="20"/>
          <w:szCs w:val="20"/>
        </w:rPr>
        <w:t xml:space="preserve">Report of the Secretary General, </w:t>
      </w:r>
      <w:r w:rsidRPr="00AE63A6">
        <w:rPr>
          <w:rFonts w:asciiTheme="majorBidi" w:hAnsiTheme="majorBidi" w:cstheme="majorBidi"/>
          <w:i/>
          <w:iCs/>
          <w:sz w:val="20"/>
          <w:szCs w:val="20"/>
        </w:rPr>
        <w:t xml:space="preserve">A </w:t>
      </w:r>
      <w:r>
        <w:rPr>
          <w:rFonts w:asciiTheme="majorBidi" w:hAnsiTheme="majorBidi" w:cstheme="majorBidi"/>
          <w:i/>
          <w:iCs/>
          <w:sz w:val="20"/>
          <w:szCs w:val="20"/>
        </w:rPr>
        <w:t>Vital and E</w:t>
      </w:r>
      <w:r w:rsidRPr="00AE63A6">
        <w:rPr>
          <w:rFonts w:asciiTheme="majorBidi" w:hAnsiTheme="majorBidi" w:cstheme="majorBidi"/>
          <w:i/>
          <w:iCs/>
          <w:sz w:val="20"/>
          <w:szCs w:val="20"/>
        </w:rPr>
        <w:t xml:space="preserve">nduring </w:t>
      </w:r>
      <w:r>
        <w:rPr>
          <w:rFonts w:asciiTheme="majorBidi" w:hAnsiTheme="majorBidi" w:cstheme="majorBidi"/>
          <w:i/>
          <w:iCs/>
          <w:sz w:val="20"/>
          <w:szCs w:val="20"/>
        </w:rPr>
        <w:t>C</w:t>
      </w:r>
      <w:r w:rsidRPr="00AE63A6">
        <w:rPr>
          <w:rFonts w:asciiTheme="majorBidi" w:hAnsiTheme="majorBidi" w:cstheme="majorBidi"/>
          <w:i/>
          <w:iCs/>
          <w:sz w:val="20"/>
          <w:szCs w:val="20"/>
        </w:rPr>
        <w:t xml:space="preserve">ommitment: </w:t>
      </w:r>
      <w:r>
        <w:rPr>
          <w:rFonts w:asciiTheme="majorBidi" w:hAnsiTheme="majorBidi" w:cstheme="majorBidi"/>
          <w:i/>
          <w:iCs/>
          <w:sz w:val="20"/>
          <w:szCs w:val="20"/>
        </w:rPr>
        <w:t>Implementing the Responsibility to P</w:t>
      </w:r>
      <w:r w:rsidRPr="00AE63A6">
        <w:rPr>
          <w:rFonts w:asciiTheme="majorBidi" w:hAnsiTheme="majorBidi" w:cstheme="majorBidi"/>
          <w:i/>
          <w:iCs/>
          <w:sz w:val="20"/>
          <w:szCs w:val="20"/>
        </w:rPr>
        <w:t>rotect</w:t>
      </w:r>
      <w:r>
        <w:rPr>
          <w:rFonts w:asciiTheme="majorBidi" w:hAnsiTheme="majorBidi" w:cstheme="majorBidi"/>
          <w:sz w:val="20"/>
          <w:szCs w:val="20"/>
        </w:rPr>
        <w:t xml:space="preserve">, </w:t>
      </w:r>
      <w:r w:rsidRPr="00CA2399">
        <w:rPr>
          <w:rFonts w:asciiTheme="majorBidi" w:hAnsiTheme="majorBidi" w:cstheme="majorBidi"/>
          <w:sz w:val="20"/>
          <w:szCs w:val="20"/>
        </w:rPr>
        <w:t>U</w:t>
      </w:r>
      <w:r>
        <w:rPr>
          <w:rFonts w:asciiTheme="majorBidi" w:hAnsiTheme="majorBidi" w:cstheme="majorBidi"/>
          <w:sz w:val="20"/>
          <w:szCs w:val="20"/>
        </w:rPr>
        <w:t>.</w:t>
      </w:r>
      <w:r w:rsidRPr="00CA2399">
        <w:rPr>
          <w:rFonts w:asciiTheme="majorBidi" w:hAnsiTheme="majorBidi" w:cstheme="majorBidi"/>
          <w:sz w:val="20"/>
          <w:szCs w:val="20"/>
        </w:rPr>
        <w:t>N</w:t>
      </w:r>
      <w:r>
        <w:rPr>
          <w:rFonts w:asciiTheme="majorBidi" w:hAnsiTheme="majorBidi" w:cstheme="majorBidi"/>
          <w:sz w:val="20"/>
          <w:szCs w:val="20"/>
        </w:rPr>
        <w:t>.</w:t>
      </w:r>
      <w:r w:rsidRPr="00CA2399">
        <w:rPr>
          <w:rFonts w:asciiTheme="majorBidi" w:hAnsiTheme="majorBidi" w:cstheme="majorBidi"/>
          <w:sz w:val="20"/>
          <w:szCs w:val="20"/>
        </w:rPr>
        <w:t xml:space="preserve"> Doc. A/69/981–S/2015/500</w:t>
      </w:r>
      <w:r>
        <w:rPr>
          <w:rFonts w:asciiTheme="majorBidi" w:hAnsiTheme="majorBidi" w:cstheme="majorBidi"/>
          <w:sz w:val="20"/>
          <w:szCs w:val="20"/>
        </w:rPr>
        <w:t xml:space="preserve"> (2015)</w:t>
      </w:r>
      <w:r w:rsidRPr="00CA2399">
        <w:rPr>
          <w:rFonts w:asciiTheme="majorBidi" w:hAnsiTheme="majorBidi" w:cstheme="majorBidi"/>
          <w:sz w:val="20"/>
          <w:szCs w:val="20"/>
        </w:rPr>
        <w:t xml:space="preserve">.  </w:t>
      </w:r>
    </w:p>
  </w:footnote>
  <w:footnote w:id="13">
    <w:p w14:paraId="19822642" w14:textId="3F3E86C3" w:rsidR="00802DBC" w:rsidRPr="00CA2399" w:rsidRDefault="00802DBC" w:rsidP="00CA2399">
      <w:pPr>
        <w:pStyle w:val="FootnoteText"/>
        <w:ind w:firstLine="144"/>
        <w:jc w:val="both"/>
        <w:rPr>
          <w:rFonts w:ascii="Times New Roman" w:hAnsi="Times New Roman" w:cs="Times New Roman"/>
          <w:sz w:val="20"/>
          <w:szCs w:val="20"/>
        </w:rPr>
      </w:pPr>
      <w:r w:rsidRPr="00CA2399">
        <w:rPr>
          <w:rStyle w:val="FootnoteReference"/>
          <w:rFonts w:ascii="Times New Roman" w:hAnsi="Times New Roman" w:cs="Times New Roman"/>
          <w:sz w:val="20"/>
          <w:szCs w:val="20"/>
        </w:rPr>
        <w:footnoteRef/>
      </w:r>
      <w:r w:rsidRPr="00CA2399">
        <w:rPr>
          <w:rFonts w:ascii="Times New Roman" w:hAnsi="Times New Roman" w:cs="Times New Roman"/>
          <w:sz w:val="20"/>
          <w:szCs w:val="20"/>
        </w:rPr>
        <w:t xml:space="preserve"> </w:t>
      </w:r>
      <w:r w:rsidRPr="00CA2399">
        <w:rPr>
          <w:rFonts w:ascii="Times New Roman" w:hAnsi="Times New Roman" w:cs="Times New Roman"/>
          <w:i/>
          <w:sz w:val="20"/>
          <w:szCs w:val="20"/>
        </w:rPr>
        <w:t>See generally</w:t>
      </w:r>
      <w:r w:rsidRPr="00CA2399">
        <w:rPr>
          <w:rFonts w:ascii="Times New Roman" w:hAnsi="Times New Roman" w:cs="Times New Roman"/>
          <w:sz w:val="20"/>
          <w:szCs w:val="20"/>
        </w:rPr>
        <w:t xml:space="preserve"> Eileen F. Babbitt, </w:t>
      </w:r>
      <w:r w:rsidRPr="00CA2399">
        <w:rPr>
          <w:rFonts w:ascii="Times New Roman" w:hAnsi="Times New Roman" w:cs="Times New Roman"/>
          <w:i/>
          <w:sz w:val="20"/>
          <w:szCs w:val="20"/>
        </w:rPr>
        <w:t>Mediation and the Prevention of Mass Atrocities</w:t>
      </w:r>
      <w:r w:rsidRPr="00CA2399">
        <w:rPr>
          <w:rFonts w:ascii="Times New Roman" w:hAnsi="Times New Roman" w:cs="Times New Roman"/>
          <w:sz w:val="20"/>
          <w:szCs w:val="20"/>
        </w:rPr>
        <w:t>,</w:t>
      </w:r>
      <w:r>
        <w:rPr>
          <w:rFonts w:ascii="Times New Roman" w:hAnsi="Times New Roman" w:cs="Times New Roman"/>
          <w:i/>
          <w:iCs/>
          <w:sz w:val="20"/>
          <w:szCs w:val="20"/>
        </w:rPr>
        <w:t xml:space="preserve"> in</w:t>
      </w:r>
      <w:r w:rsidRPr="00CA2399">
        <w:rPr>
          <w:rFonts w:ascii="Times New Roman" w:hAnsi="Times New Roman" w:cs="Times New Roman"/>
          <w:sz w:val="20"/>
          <w:szCs w:val="20"/>
        </w:rPr>
        <w:t xml:space="preserve"> </w:t>
      </w:r>
      <w:r w:rsidRPr="00CA2399">
        <w:rPr>
          <w:rFonts w:ascii="Times New Roman" w:hAnsi="Times New Roman" w:cs="Times New Roman"/>
          <w:smallCaps/>
          <w:sz w:val="20"/>
          <w:szCs w:val="20"/>
        </w:rPr>
        <w:t>The Int</w:t>
      </w:r>
      <w:r>
        <w:rPr>
          <w:rFonts w:ascii="Times New Roman" w:hAnsi="Times New Roman" w:cs="Times New Roman"/>
          <w:smallCaps/>
          <w:sz w:val="20"/>
          <w:szCs w:val="20"/>
        </w:rPr>
        <w:t>ernationa</w:t>
      </w:r>
      <w:r w:rsidRPr="00CA2399">
        <w:rPr>
          <w:rFonts w:ascii="Times New Roman" w:hAnsi="Times New Roman" w:cs="Times New Roman"/>
          <w:smallCaps/>
          <w:sz w:val="20"/>
          <w:szCs w:val="20"/>
        </w:rPr>
        <w:t>l Pol</w:t>
      </w:r>
      <w:r>
        <w:rPr>
          <w:rFonts w:ascii="Times New Roman" w:hAnsi="Times New Roman" w:cs="Times New Roman"/>
          <w:smallCaps/>
          <w:sz w:val="20"/>
          <w:szCs w:val="20"/>
        </w:rPr>
        <w:t>icy</w:t>
      </w:r>
      <w:r w:rsidRPr="00CA2399">
        <w:rPr>
          <w:rFonts w:ascii="Times New Roman" w:hAnsi="Times New Roman" w:cs="Times New Roman"/>
          <w:smallCaps/>
          <w:sz w:val="20"/>
          <w:szCs w:val="20"/>
        </w:rPr>
        <w:t xml:space="preserve"> of Hum</w:t>
      </w:r>
      <w:r>
        <w:rPr>
          <w:rFonts w:ascii="Times New Roman" w:hAnsi="Times New Roman" w:cs="Times New Roman"/>
          <w:smallCaps/>
          <w:sz w:val="20"/>
          <w:szCs w:val="20"/>
        </w:rPr>
        <w:t>an</w:t>
      </w:r>
      <w:r w:rsidRPr="00CA2399">
        <w:rPr>
          <w:rFonts w:ascii="Times New Roman" w:hAnsi="Times New Roman" w:cs="Times New Roman"/>
          <w:smallCaps/>
          <w:sz w:val="20"/>
          <w:szCs w:val="20"/>
        </w:rPr>
        <w:t xml:space="preserve"> Rights: Rallying to the </w:t>
      </w:r>
      <w:r w:rsidRPr="005F1183">
        <w:rPr>
          <w:rFonts w:ascii="Times New Roman" w:hAnsi="Times New Roman" w:cs="Times New Roman"/>
          <w:smallCaps/>
          <w:sz w:val="20"/>
          <w:szCs w:val="20"/>
        </w:rPr>
        <w:t>R2P</w:t>
      </w:r>
      <w:r w:rsidRPr="00CA2399">
        <w:rPr>
          <w:rFonts w:ascii="Times New Roman" w:hAnsi="Times New Roman" w:cs="Times New Roman"/>
          <w:smallCaps/>
          <w:sz w:val="20"/>
          <w:szCs w:val="20"/>
        </w:rPr>
        <w:t xml:space="preserve"> Cause? </w:t>
      </w:r>
      <w:r>
        <w:rPr>
          <w:rFonts w:ascii="Times New Roman" w:hAnsi="Times New Roman" w:cs="Times New Roman"/>
          <w:sz w:val="20"/>
          <w:szCs w:val="20"/>
        </w:rPr>
        <w:t xml:space="preserve">29, </w:t>
      </w:r>
      <w:r w:rsidRPr="00CA2399">
        <w:rPr>
          <w:rFonts w:ascii="Times New Roman" w:hAnsi="Times New Roman" w:cs="Times New Roman"/>
          <w:sz w:val="20"/>
          <w:szCs w:val="20"/>
        </w:rPr>
        <w:t>29</w:t>
      </w:r>
      <w:r>
        <w:rPr>
          <w:rFonts w:ascii="Times New Roman" w:hAnsi="Times New Roman" w:cs="Times New Roman"/>
          <w:sz w:val="20"/>
          <w:szCs w:val="20"/>
        </w:rPr>
        <w:t>–</w:t>
      </w:r>
      <w:r w:rsidRPr="00CA2399">
        <w:rPr>
          <w:rFonts w:ascii="Times New Roman" w:hAnsi="Times New Roman" w:cs="Times New Roman"/>
          <w:sz w:val="20"/>
          <w:szCs w:val="20"/>
        </w:rPr>
        <w:t xml:space="preserve">47 (Monica Serrano </w:t>
      </w:r>
      <w:r>
        <w:rPr>
          <w:rFonts w:ascii="Times New Roman" w:hAnsi="Times New Roman" w:cs="Times New Roman"/>
          <w:sz w:val="20"/>
          <w:szCs w:val="20"/>
        </w:rPr>
        <w:t>&amp;</w:t>
      </w:r>
      <w:r w:rsidRPr="00CA2399">
        <w:rPr>
          <w:rFonts w:ascii="Times New Roman" w:hAnsi="Times New Roman" w:cs="Times New Roman"/>
          <w:sz w:val="20"/>
          <w:szCs w:val="20"/>
        </w:rPr>
        <w:t xml:space="preserve"> Thomas Weiss eds., 2014);</w:t>
      </w:r>
      <w:r w:rsidRPr="00CA2399">
        <w:rPr>
          <w:rFonts w:ascii="Times New Roman" w:hAnsi="Times New Roman" w:cs="Times New Roman"/>
          <w:i/>
          <w:iCs/>
          <w:sz w:val="20"/>
          <w:szCs w:val="20"/>
        </w:rPr>
        <w:t xml:space="preserve"> </w:t>
      </w:r>
      <w:r w:rsidRPr="00CA2399">
        <w:rPr>
          <w:rFonts w:ascii="Times New Roman" w:hAnsi="Times New Roman" w:cs="Times New Roman"/>
          <w:sz w:val="20"/>
          <w:szCs w:val="20"/>
        </w:rPr>
        <w:t xml:space="preserve">Galis et. al., </w:t>
      </w:r>
      <w:r w:rsidRPr="00CA2399">
        <w:rPr>
          <w:rFonts w:ascii="Times New Roman" w:hAnsi="Times New Roman" w:cs="Times New Roman"/>
          <w:i/>
          <w:iCs/>
          <w:sz w:val="20"/>
          <w:szCs w:val="20"/>
        </w:rPr>
        <w:t>supra</w:t>
      </w:r>
      <w:r w:rsidRPr="00CA2399">
        <w:rPr>
          <w:rFonts w:ascii="Times New Roman" w:hAnsi="Times New Roman" w:cs="Times New Roman"/>
          <w:sz w:val="20"/>
          <w:szCs w:val="20"/>
        </w:rPr>
        <w:t xml:space="preserve"> note 1.</w:t>
      </w:r>
      <w:r>
        <w:rPr>
          <w:rFonts w:ascii="Times New Roman" w:hAnsi="Times New Roman" w:cs="Times New Roman"/>
          <w:sz w:val="20"/>
          <w:szCs w:val="20"/>
        </w:rPr>
        <w:t xml:space="preserve"> </w:t>
      </w:r>
      <w:r w:rsidRPr="00CA2399">
        <w:rPr>
          <w:rFonts w:ascii="Times New Roman" w:hAnsi="Times New Roman" w:cs="Times New Roman"/>
          <w:sz w:val="20"/>
          <w:szCs w:val="20"/>
        </w:rPr>
        <w:t>It should be noted that R2P is a soft-law norm.</w:t>
      </w:r>
    </w:p>
  </w:footnote>
  <w:footnote w:id="14">
    <w:p w14:paraId="431A4A8C" w14:textId="672B898A" w:rsidR="00802DBC" w:rsidRPr="00CA2399" w:rsidRDefault="00802DBC" w:rsidP="00CA2399">
      <w:pPr>
        <w:pStyle w:val="FootnoteText"/>
        <w:ind w:firstLine="144"/>
        <w:jc w:val="both"/>
        <w:rPr>
          <w:rFonts w:ascii="Times New Roman" w:hAnsi="Times New Roman" w:cs="Times New Roman"/>
          <w:sz w:val="20"/>
          <w:szCs w:val="20"/>
        </w:rPr>
      </w:pPr>
      <w:r w:rsidRPr="00CA2399">
        <w:rPr>
          <w:rStyle w:val="FootnoteReference"/>
          <w:rFonts w:ascii="Times New Roman" w:hAnsi="Times New Roman" w:cs="Times New Roman"/>
          <w:sz w:val="20"/>
          <w:szCs w:val="20"/>
        </w:rPr>
        <w:footnoteRef/>
      </w:r>
      <w:r w:rsidRPr="00CA2399">
        <w:rPr>
          <w:rFonts w:ascii="Times New Roman" w:hAnsi="Times New Roman" w:cs="Times New Roman"/>
          <w:sz w:val="20"/>
          <w:szCs w:val="20"/>
        </w:rPr>
        <w:t xml:space="preserve"> </w:t>
      </w:r>
      <w:r w:rsidRPr="00CA2399">
        <w:rPr>
          <w:rFonts w:ascii="Times New Roman" w:hAnsi="Times New Roman" w:cs="Times New Roman"/>
          <w:smallCaps/>
          <w:sz w:val="20"/>
          <w:szCs w:val="20"/>
        </w:rPr>
        <w:t xml:space="preserve">ICISS, </w:t>
      </w:r>
      <w:r w:rsidRPr="00CA2399">
        <w:rPr>
          <w:rFonts w:ascii="Times New Roman" w:hAnsi="Times New Roman" w:cs="Times New Roman"/>
          <w:i/>
          <w:iCs/>
          <w:sz w:val="20"/>
          <w:szCs w:val="20"/>
        </w:rPr>
        <w:t xml:space="preserve">supra </w:t>
      </w:r>
      <w:r w:rsidRPr="00CA2399">
        <w:rPr>
          <w:rFonts w:ascii="Times New Roman" w:hAnsi="Times New Roman" w:cs="Times New Roman"/>
          <w:sz w:val="20"/>
          <w:szCs w:val="20"/>
        </w:rPr>
        <w:t>note 4.</w:t>
      </w:r>
    </w:p>
  </w:footnote>
  <w:footnote w:id="15">
    <w:p w14:paraId="73AB348A" w14:textId="57EEEB9C" w:rsidR="00802DBC" w:rsidRPr="00CA2399" w:rsidRDefault="00802DBC" w:rsidP="00CA2399">
      <w:pPr>
        <w:pStyle w:val="FootnoteText"/>
        <w:ind w:firstLine="144"/>
        <w:jc w:val="both"/>
        <w:rPr>
          <w:rFonts w:ascii="Times New Roman" w:hAnsi="Times New Roman" w:cs="Times New Roman"/>
          <w:sz w:val="20"/>
          <w:szCs w:val="20"/>
        </w:rPr>
      </w:pPr>
      <w:r w:rsidRPr="00CA2399">
        <w:rPr>
          <w:rStyle w:val="FootnoteReference"/>
          <w:rFonts w:ascii="Times New Roman" w:hAnsi="Times New Roman" w:cs="Times New Roman"/>
          <w:sz w:val="20"/>
          <w:szCs w:val="20"/>
        </w:rPr>
        <w:footnoteRef/>
      </w:r>
      <w:r w:rsidRPr="00CA2399">
        <w:rPr>
          <w:rFonts w:ascii="Times New Roman" w:hAnsi="Times New Roman" w:cs="Times New Roman"/>
          <w:sz w:val="20"/>
          <w:szCs w:val="20"/>
        </w:rPr>
        <w:t xml:space="preserve"> </w:t>
      </w:r>
      <w:r w:rsidRPr="00CA2399">
        <w:rPr>
          <w:rFonts w:ascii="Times New Roman" w:hAnsi="Times New Roman" w:cs="Times New Roman"/>
          <w:i/>
          <w:sz w:val="20"/>
          <w:szCs w:val="20"/>
        </w:rPr>
        <w:t>Id</w:t>
      </w:r>
      <w:r w:rsidRPr="00CA2399">
        <w:rPr>
          <w:rFonts w:ascii="Times New Roman" w:hAnsi="Times New Roman" w:cs="Times New Roman"/>
          <w:sz w:val="20"/>
          <w:szCs w:val="20"/>
        </w:rPr>
        <w:t xml:space="preserve">. </w:t>
      </w:r>
    </w:p>
  </w:footnote>
  <w:footnote w:id="16">
    <w:p w14:paraId="4B84D941" w14:textId="4C248AAD" w:rsidR="00802DBC" w:rsidRPr="00CA2399" w:rsidRDefault="00802DBC" w:rsidP="00CA2399">
      <w:pPr>
        <w:pStyle w:val="FootnoteText"/>
        <w:ind w:firstLine="144"/>
        <w:jc w:val="both"/>
        <w:rPr>
          <w:rFonts w:ascii="Times New Roman" w:hAnsi="Times New Roman" w:cs="Times New Roman"/>
          <w:sz w:val="20"/>
          <w:szCs w:val="20"/>
        </w:rPr>
      </w:pPr>
      <w:r w:rsidRPr="00CA2399">
        <w:rPr>
          <w:rStyle w:val="FootnoteReference"/>
          <w:rFonts w:ascii="Times New Roman" w:hAnsi="Times New Roman" w:cs="Times New Roman"/>
          <w:sz w:val="20"/>
          <w:szCs w:val="20"/>
        </w:rPr>
        <w:footnoteRef/>
      </w:r>
      <w:r w:rsidRPr="00CA2399">
        <w:rPr>
          <w:rFonts w:ascii="Times New Roman" w:hAnsi="Times New Roman" w:cs="Times New Roman"/>
          <w:sz w:val="20"/>
          <w:szCs w:val="20"/>
        </w:rPr>
        <w:t xml:space="preserve"> </w:t>
      </w:r>
      <w:r w:rsidRPr="00CA2399">
        <w:rPr>
          <w:rFonts w:ascii="Times New Roman" w:hAnsi="Times New Roman" w:cs="Times New Roman"/>
          <w:i/>
          <w:sz w:val="20"/>
          <w:szCs w:val="20"/>
        </w:rPr>
        <w:t xml:space="preserve">See generally </w:t>
      </w:r>
      <w:r w:rsidRPr="00CA6605">
        <w:rPr>
          <w:rFonts w:ascii="Times New Roman" w:hAnsi="Times New Roman" w:cs="Times New Roman"/>
          <w:i/>
          <w:iCs/>
          <w:sz w:val="20"/>
          <w:szCs w:val="20"/>
        </w:rPr>
        <w:t>i</w:t>
      </w:r>
      <w:r w:rsidRPr="00CA2399">
        <w:rPr>
          <w:rFonts w:ascii="Times New Roman" w:hAnsi="Times New Roman" w:cs="Times New Roman"/>
          <w:i/>
          <w:sz w:val="20"/>
          <w:szCs w:val="20"/>
        </w:rPr>
        <w:t>d</w:t>
      </w:r>
      <w:r w:rsidRPr="00CA2399">
        <w:rPr>
          <w:rFonts w:ascii="Times New Roman" w:hAnsi="Times New Roman" w:cs="Times New Roman"/>
          <w:sz w:val="20"/>
          <w:szCs w:val="20"/>
        </w:rPr>
        <w:t xml:space="preserve">.; Galis et. al., </w:t>
      </w:r>
      <w:r w:rsidRPr="00CA2399">
        <w:rPr>
          <w:rFonts w:ascii="Times New Roman" w:hAnsi="Times New Roman" w:cs="Times New Roman"/>
          <w:i/>
          <w:iCs/>
          <w:sz w:val="20"/>
          <w:szCs w:val="20"/>
        </w:rPr>
        <w:t>supra</w:t>
      </w:r>
      <w:r w:rsidRPr="00CA2399">
        <w:rPr>
          <w:rFonts w:ascii="Times New Roman" w:hAnsi="Times New Roman" w:cs="Times New Roman"/>
          <w:sz w:val="20"/>
          <w:szCs w:val="20"/>
        </w:rPr>
        <w:t xml:space="preserve"> note 1. </w:t>
      </w:r>
      <w:r>
        <w:rPr>
          <w:rFonts w:ascii="Times New Roman" w:hAnsi="Times New Roman" w:cs="Times New Roman"/>
          <w:sz w:val="20"/>
          <w:szCs w:val="20"/>
        </w:rPr>
        <w:t xml:space="preserve">See </w:t>
      </w:r>
      <w:r w:rsidRPr="00CA2399">
        <w:rPr>
          <w:rFonts w:ascii="Times New Roman" w:hAnsi="Times New Roman" w:cs="Times New Roman"/>
          <w:i/>
          <w:sz w:val="20"/>
          <w:szCs w:val="20"/>
        </w:rPr>
        <w:t>infra</w:t>
      </w:r>
      <w:r>
        <w:rPr>
          <w:rFonts w:ascii="Times New Roman" w:hAnsi="Times New Roman" w:cs="Times New Roman"/>
          <w:sz w:val="20"/>
          <w:szCs w:val="20"/>
        </w:rPr>
        <w:t xml:space="preserve"> Section III for a</w:t>
      </w:r>
      <w:r w:rsidRPr="00CA2399">
        <w:rPr>
          <w:rFonts w:ascii="Times New Roman" w:hAnsi="Times New Roman" w:cs="Times New Roman"/>
          <w:sz w:val="20"/>
          <w:szCs w:val="20"/>
        </w:rPr>
        <w:t xml:space="preserve"> more detailed explanation </w:t>
      </w:r>
      <w:r w:rsidRPr="00795527">
        <w:rPr>
          <w:rFonts w:ascii="Times New Roman" w:hAnsi="Times New Roman" w:cs="Times New Roman"/>
          <w:sz w:val="20"/>
          <w:szCs w:val="20"/>
        </w:rPr>
        <w:t>of why this is the case</w:t>
      </w:r>
      <w:r>
        <w:rPr>
          <w:rFonts w:ascii="Times New Roman" w:hAnsi="Times New Roman" w:cs="Times New Roman"/>
          <w:sz w:val="20"/>
          <w:szCs w:val="20"/>
        </w:rPr>
        <w:t>.</w:t>
      </w:r>
    </w:p>
  </w:footnote>
  <w:footnote w:id="17">
    <w:p w14:paraId="30528FC2" w14:textId="7EF421A4" w:rsidR="00802DBC" w:rsidRPr="00CA2399" w:rsidRDefault="00802DBC" w:rsidP="00CA2399">
      <w:pPr>
        <w:pStyle w:val="FootnoteText"/>
        <w:ind w:firstLine="144"/>
        <w:jc w:val="both"/>
        <w:rPr>
          <w:rFonts w:asciiTheme="majorBidi" w:hAnsiTheme="majorBidi" w:cstheme="majorBidi"/>
          <w:sz w:val="20"/>
          <w:szCs w:val="20"/>
        </w:rPr>
      </w:pPr>
      <w:r w:rsidRPr="00CA2399">
        <w:rPr>
          <w:rStyle w:val="FootnoteReference"/>
          <w:rFonts w:asciiTheme="majorBidi" w:hAnsiTheme="majorBidi" w:cstheme="majorBidi"/>
          <w:sz w:val="20"/>
          <w:szCs w:val="20"/>
        </w:rPr>
        <w:footnoteRef/>
      </w:r>
      <w:r w:rsidRPr="00CA2399">
        <w:rPr>
          <w:rFonts w:asciiTheme="majorBidi" w:hAnsiTheme="majorBidi" w:cstheme="majorBidi"/>
          <w:sz w:val="20"/>
          <w:szCs w:val="20"/>
        </w:rPr>
        <w:t xml:space="preserve"> </w:t>
      </w:r>
      <w:r>
        <w:rPr>
          <w:rFonts w:asciiTheme="majorBidi" w:hAnsiTheme="majorBidi" w:cstheme="majorBidi"/>
          <w:iCs/>
          <w:sz w:val="20"/>
          <w:szCs w:val="20"/>
        </w:rPr>
        <w:t>S</w:t>
      </w:r>
      <w:r w:rsidRPr="00CA6605">
        <w:rPr>
          <w:rFonts w:asciiTheme="majorBidi" w:hAnsiTheme="majorBidi" w:cstheme="majorBidi"/>
          <w:iCs/>
          <w:sz w:val="20"/>
          <w:szCs w:val="20"/>
        </w:rPr>
        <w:t>ee</w:t>
      </w:r>
      <w:r w:rsidRPr="00CA2399">
        <w:rPr>
          <w:rFonts w:asciiTheme="majorBidi" w:hAnsiTheme="majorBidi" w:cstheme="majorBidi"/>
          <w:sz w:val="20"/>
          <w:szCs w:val="20"/>
        </w:rPr>
        <w:t xml:space="preserve"> Noam Chomsky, </w:t>
      </w:r>
      <w:r w:rsidRPr="00CA2399">
        <w:rPr>
          <w:rFonts w:asciiTheme="majorBidi" w:hAnsiTheme="majorBidi" w:cstheme="majorBidi"/>
          <w:i/>
          <w:iCs/>
          <w:sz w:val="20"/>
          <w:szCs w:val="20"/>
        </w:rPr>
        <w:t>Humanitarian Imperialism: The New Doctrine of Imperial Right</w:t>
      </w:r>
      <w:r w:rsidRPr="00CA2399">
        <w:rPr>
          <w:rFonts w:asciiTheme="majorBidi" w:hAnsiTheme="majorBidi" w:cstheme="majorBidi"/>
          <w:sz w:val="20"/>
          <w:szCs w:val="20"/>
        </w:rPr>
        <w:t xml:space="preserve">, </w:t>
      </w:r>
      <w:r w:rsidRPr="00CA2399">
        <w:rPr>
          <w:rFonts w:asciiTheme="majorBidi" w:hAnsiTheme="majorBidi" w:cstheme="majorBidi"/>
          <w:smallCaps/>
          <w:sz w:val="20"/>
          <w:szCs w:val="20"/>
        </w:rPr>
        <w:t>60 Monthly Rev</w:t>
      </w:r>
      <w:r>
        <w:rPr>
          <w:rFonts w:asciiTheme="majorBidi" w:hAnsiTheme="majorBidi" w:cstheme="majorBidi"/>
          <w:smallCaps/>
          <w:sz w:val="20"/>
          <w:szCs w:val="20"/>
        </w:rPr>
        <w:t>.</w:t>
      </w:r>
      <w:r>
        <w:rPr>
          <w:rFonts w:asciiTheme="majorBidi" w:hAnsiTheme="majorBidi" w:cstheme="majorBidi"/>
          <w:sz w:val="20"/>
          <w:szCs w:val="20"/>
        </w:rPr>
        <w:t xml:space="preserve"> 22</w:t>
      </w:r>
      <w:proofErr w:type="gramStart"/>
      <w:r>
        <w:rPr>
          <w:rFonts w:asciiTheme="majorBidi" w:hAnsiTheme="majorBidi" w:cstheme="majorBidi"/>
          <w:sz w:val="20"/>
          <w:szCs w:val="20"/>
        </w:rPr>
        <w:t xml:space="preserve">, </w:t>
      </w:r>
      <w:r w:rsidRPr="00CA2399">
        <w:rPr>
          <w:rFonts w:asciiTheme="majorBidi" w:hAnsiTheme="majorBidi" w:cstheme="majorBidi"/>
          <w:sz w:val="20"/>
          <w:szCs w:val="20"/>
        </w:rPr>
        <w:t xml:space="preserve"> 22</w:t>
      </w:r>
      <w:proofErr w:type="gramEnd"/>
      <w:r>
        <w:rPr>
          <w:rFonts w:asciiTheme="majorBidi" w:hAnsiTheme="majorBidi" w:cstheme="majorBidi"/>
          <w:sz w:val="20"/>
          <w:szCs w:val="20"/>
        </w:rPr>
        <w:t>–</w:t>
      </w:r>
      <w:r w:rsidRPr="00CA2399">
        <w:rPr>
          <w:rFonts w:asciiTheme="majorBidi" w:hAnsiTheme="majorBidi" w:cstheme="majorBidi"/>
          <w:sz w:val="20"/>
          <w:szCs w:val="20"/>
        </w:rPr>
        <w:t>50 (2008)</w:t>
      </w:r>
      <w:r>
        <w:rPr>
          <w:rFonts w:asciiTheme="majorBidi" w:hAnsiTheme="majorBidi" w:cstheme="majorBidi"/>
          <w:sz w:val="20"/>
          <w:szCs w:val="20"/>
        </w:rPr>
        <w:t xml:space="preserve"> f</w:t>
      </w:r>
      <w:r w:rsidRPr="00CA2399">
        <w:rPr>
          <w:rFonts w:asciiTheme="majorBidi" w:hAnsiTheme="majorBidi" w:cstheme="majorBidi"/>
          <w:sz w:val="20"/>
          <w:szCs w:val="20"/>
        </w:rPr>
        <w:t>or a more nuanced analysis of neo</w:t>
      </w:r>
      <w:r>
        <w:rPr>
          <w:rFonts w:asciiTheme="majorBidi" w:hAnsiTheme="majorBidi" w:cstheme="majorBidi"/>
          <w:sz w:val="20"/>
          <w:szCs w:val="20"/>
        </w:rPr>
        <w:t>-</w:t>
      </w:r>
      <w:r w:rsidRPr="00CA2399">
        <w:rPr>
          <w:rFonts w:asciiTheme="majorBidi" w:hAnsiTheme="majorBidi" w:cstheme="majorBidi"/>
          <w:sz w:val="20"/>
          <w:szCs w:val="20"/>
        </w:rPr>
        <w:t>imperialism under the guise of humanitarian aid.</w:t>
      </w:r>
    </w:p>
  </w:footnote>
  <w:footnote w:id="18">
    <w:p w14:paraId="2791CA63" w14:textId="449D40CE" w:rsidR="00802DBC" w:rsidRPr="00CA2399" w:rsidRDefault="00802DBC" w:rsidP="00CA2399">
      <w:pPr>
        <w:pStyle w:val="FootnoteText"/>
        <w:ind w:firstLine="144"/>
        <w:jc w:val="both"/>
        <w:rPr>
          <w:rFonts w:ascii="Times New Roman" w:hAnsi="Times New Roman" w:cs="Times New Roman"/>
          <w:sz w:val="20"/>
          <w:szCs w:val="20"/>
        </w:rPr>
      </w:pPr>
      <w:r w:rsidRPr="00CA2399">
        <w:rPr>
          <w:rStyle w:val="FootnoteReference"/>
          <w:rFonts w:ascii="Times New Roman" w:hAnsi="Times New Roman" w:cs="Times New Roman"/>
          <w:sz w:val="20"/>
          <w:szCs w:val="20"/>
        </w:rPr>
        <w:footnoteRef/>
      </w:r>
      <w:r w:rsidRPr="00CA2399">
        <w:rPr>
          <w:rFonts w:ascii="Times New Roman" w:hAnsi="Times New Roman" w:cs="Times New Roman"/>
          <w:sz w:val="20"/>
          <w:szCs w:val="20"/>
        </w:rPr>
        <w:t xml:space="preserve"> Galis et. al., </w:t>
      </w:r>
      <w:r w:rsidRPr="00CA2399">
        <w:rPr>
          <w:rFonts w:ascii="Times New Roman" w:hAnsi="Times New Roman" w:cs="Times New Roman"/>
          <w:i/>
          <w:iCs/>
          <w:sz w:val="20"/>
          <w:szCs w:val="20"/>
        </w:rPr>
        <w:t>supra</w:t>
      </w:r>
      <w:r w:rsidRPr="00CA2399">
        <w:rPr>
          <w:rFonts w:ascii="Times New Roman" w:hAnsi="Times New Roman" w:cs="Times New Roman"/>
          <w:sz w:val="20"/>
          <w:szCs w:val="20"/>
        </w:rPr>
        <w:t xml:space="preserve"> note 1, at </w:t>
      </w:r>
      <w:proofErr w:type="spellStart"/>
      <w:r w:rsidRPr="00CA2399">
        <w:rPr>
          <w:rFonts w:ascii="Times New Roman" w:hAnsi="Times New Roman" w:cs="Times New Roman"/>
          <w:sz w:val="20"/>
          <w:szCs w:val="20"/>
        </w:rPr>
        <w:t>ch.</w:t>
      </w:r>
      <w:proofErr w:type="spellEnd"/>
      <w:r w:rsidRPr="00CA2399">
        <w:rPr>
          <w:rFonts w:ascii="Times New Roman" w:hAnsi="Times New Roman" w:cs="Times New Roman"/>
          <w:sz w:val="20"/>
          <w:szCs w:val="20"/>
        </w:rPr>
        <w:t xml:space="preserve"> 2.</w:t>
      </w:r>
    </w:p>
  </w:footnote>
  <w:footnote w:id="19">
    <w:p w14:paraId="45F7DC95" w14:textId="6935EADF" w:rsidR="00802DBC" w:rsidRPr="00CA2399" w:rsidRDefault="00802DBC" w:rsidP="00D061BD">
      <w:pPr>
        <w:pStyle w:val="FootnoteText"/>
        <w:ind w:firstLine="144"/>
        <w:jc w:val="both"/>
        <w:rPr>
          <w:rFonts w:ascii="Times New Roman" w:hAnsi="Times New Roman" w:cs="Times New Roman"/>
          <w:sz w:val="20"/>
          <w:szCs w:val="20"/>
        </w:rPr>
      </w:pPr>
      <w:r w:rsidRPr="00CA2399">
        <w:rPr>
          <w:rStyle w:val="FootnoteReference"/>
          <w:rFonts w:ascii="Times New Roman" w:hAnsi="Times New Roman" w:cs="Times New Roman"/>
          <w:sz w:val="20"/>
          <w:szCs w:val="20"/>
        </w:rPr>
        <w:footnoteRef/>
      </w:r>
      <w:r w:rsidRPr="00CA2399">
        <w:rPr>
          <w:rFonts w:ascii="Times New Roman" w:hAnsi="Times New Roman" w:cs="Times New Roman"/>
          <w:sz w:val="20"/>
          <w:szCs w:val="20"/>
        </w:rPr>
        <w:t xml:space="preserve">Gregory Stanton, </w:t>
      </w:r>
      <w:r w:rsidRPr="00CA2399">
        <w:rPr>
          <w:rFonts w:ascii="Times New Roman" w:hAnsi="Times New Roman" w:cs="Times New Roman"/>
          <w:i/>
          <w:sz w:val="20"/>
          <w:szCs w:val="20"/>
        </w:rPr>
        <w:t>The Ten Stages of Genocide</w:t>
      </w:r>
      <w:r w:rsidRPr="00CA2399">
        <w:rPr>
          <w:rFonts w:ascii="Times New Roman" w:hAnsi="Times New Roman" w:cs="Times New Roman"/>
          <w:sz w:val="20"/>
          <w:szCs w:val="20"/>
        </w:rPr>
        <w:t xml:space="preserve">, </w:t>
      </w:r>
      <w:r w:rsidRPr="00CA2399">
        <w:rPr>
          <w:rFonts w:ascii="Times New Roman" w:hAnsi="Times New Roman" w:cs="Times New Roman"/>
          <w:smallCaps/>
          <w:sz w:val="20"/>
          <w:szCs w:val="20"/>
        </w:rPr>
        <w:t>Genocide Watch</w:t>
      </w:r>
      <w:r>
        <w:rPr>
          <w:rFonts w:ascii="Times New Roman" w:hAnsi="Times New Roman" w:cs="Times New Roman"/>
          <w:smallCaps/>
          <w:sz w:val="20"/>
          <w:szCs w:val="20"/>
        </w:rPr>
        <w:t xml:space="preserve">, </w:t>
      </w:r>
      <w:r w:rsidRPr="00CA2399">
        <w:rPr>
          <w:rFonts w:ascii="Times New Roman" w:hAnsi="Times New Roman" w:cs="Times New Roman"/>
          <w:sz w:val="20"/>
          <w:szCs w:val="20"/>
        </w:rPr>
        <w:t>http://www.genocidewatch.org/genocide/tenstag</w:t>
      </w:r>
      <w:r>
        <w:rPr>
          <w:rFonts w:ascii="Times New Roman" w:hAnsi="Times New Roman" w:cs="Times New Roman"/>
          <w:sz w:val="20"/>
          <w:szCs w:val="20"/>
        </w:rPr>
        <w:t>esofgenocide.html (last visited Oct. 10, 2016</w:t>
      </w:r>
      <w:r w:rsidRPr="00CA2399">
        <w:rPr>
          <w:rFonts w:ascii="Times New Roman" w:hAnsi="Times New Roman" w:cs="Times New Roman"/>
          <w:sz w:val="20"/>
          <w:szCs w:val="20"/>
        </w:rPr>
        <w:t>)</w:t>
      </w:r>
      <w:r>
        <w:rPr>
          <w:rFonts w:ascii="Times New Roman" w:hAnsi="Times New Roman" w:cs="Times New Roman"/>
          <w:sz w:val="20"/>
          <w:szCs w:val="20"/>
        </w:rPr>
        <w:t xml:space="preserve"> (Initially, Stanton explained genocide as an eight-stage non-linear process.</w:t>
      </w:r>
      <w:r w:rsidR="002C47FD">
        <w:rPr>
          <w:rFonts w:ascii="Times New Roman" w:hAnsi="Times New Roman" w:cs="Times New Roman"/>
          <w:sz w:val="20"/>
          <w:szCs w:val="20"/>
        </w:rPr>
        <w:t xml:space="preserve"> </w:t>
      </w:r>
      <w:r>
        <w:rPr>
          <w:rFonts w:ascii="Times New Roman" w:hAnsi="Times New Roman" w:cs="Times New Roman"/>
          <w:sz w:val="20"/>
          <w:szCs w:val="20"/>
        </w:rPr>
        <w:t xml:space="preserve"> He has since added two additional stages).</w:t>
      </w:r>
    </w:p>
  </w:footnote>
  <w:footnote w:id="20">
    <w:p w14:paraId="6F5121B1" w14:textId="54806BF0" w:rsidR="00802DBC" w:rsidRPr="00CA2399" w:rsidRDefault="00802DBC" w:rsidP="00273A4A">
      <w:pPr>
        <w:pStyle w:val="FootnoteText"/>
        <w:ind w:firstLine="144"/>
        <w:jc w:val="both"/>
        <w:rPr>
          <w:rFonts w:ascii="Times New Roman" w:hAnsi="Times New Roman" w:cs="Times New Roman"/>
          <w:sz w:val="20"/>
          <w:szCs w:val="20"/>
        </w:rPr>
      </w:pPr>
      <w:r w:rsidRPr="00CA2399">
        <w:rPr>
          <w:rStyle w:val="FootnoteReference"/>
          <w:rFonts w:ascii="Times New Roman" w:hAnsi="Times New Roman" w:cs="Times New Roman"/>
          <w:sz w:val="20"/>
          <w:szCs w:val="20"/>
        </w:rPr>
        <w:footnoteRef/>
      </w:r>
      <w:r w:rsidRPr="00CA2399">
        <w:rPr>
          <w:rFonts w:ascii="Times New Roman" w:hAnsi="Times New Roman" w:cs="Times New Roman"/>
          <w:sz w:val="20"/>
          <w:szCs w:val="20"/>
        </w:rPr>
        <w:t xml:space="preserve"> </w:t>
      </w:r>
      <w:r>
        <w:rPr>
          <w:rFonts w:ascii="Times New Roman" w:hAnsi="Times New Roman" w:cs="Times New Roman"/>
          <w:sz w:val="20"/>
          <w:szCs w:val="20"/>
        </w:rPr>
        <w:t>United Nations,</w:t>
      </w:r>
      <w:r w:rsidRPr="00CA2399">
        <w:rPr>
          <w:rFonts w:ascii="Times New Roman" w:hAnsi="Times New Roman" w:cs="Times New Roman"/>
          <w:sz w:val="20"/>
          <w:szCs w:val="20"/>
        </w:rPr>
        <w:t xml:space="preserve"> Framework of Analysis for Atrocity Crimes, (2014) [hereinafter U</w:t>
      </w:r>
      <w:r>
        <w:rPr>
          <w:rFonts w:ascii="Times New Roman" w:hAnsi="Times New Roman" w:cs="Times New Roman"/>
          <w:sz w:val="20"/>
          <w:szCs w:val="20"/>
        </w:rPr>
        <w:t>.</w:t>
      </w:r>
      <w:r w:rsidRPr="00CA2399">
        <w:rPr>
          <w:rFonts w:ascii="Times New Roman" w:hAnsi="Times New Roman" w:cs="Times New Roman"/>
          <w:sz w:val="20"/>
          <w:szCs w:val="20"/>
        </w:rPr>
        <w:t>N</w:t>
      </w:r>
      <w:r>
        <w:rPr>
          <w:rFonts w:ascii="Times New Roman" w:hAnsi="Times New Roman" w:cs="Times New Roman"/>
          <w:sz w:val="20"/>
          <w:szCs w:val="20"/>
        </w:rPr>
        <w:t>.</w:t>
      </w:r>
      <w:r w:rsidRPr="00CA2399">
        <w:rPr>
          <w:rFonts w:ascii="Times New Roman" w:hAnsi="Times New Roman" w:cs="Times New Roman"/>
          <w:sz w:val="20"/>
          <w:szCs w:val="20"/>
        </w:rPr>
        <w:t xml:space="preserve"> Framework of Analysis].</w:t>
      </w:r>
      <w:r w:rsidR="002C47FD">
        <w:rPr>
          <w:rFonts w:ascii="Times New Roman" w:hAnsi="Times New Roman" w:cs="Times New Roman"/>
          <w:sz w:val="20"/>
          <w:szCs w:val="20"/>
        </w:rPr>
        <w:t xml:space="preserve"> </w:t>
      </w:r>
      <w:r w:rsidRPr="00CA2399">
        <w:rPr>
          <w:rFonts w:ascii="Times New Roman" w:hAnsi="Times New Roman" w:cs="Times New Roman"/>
          <w:sz w:val="20"/>
          <w:szCs w:val="20"/>
        </w:rPr>
        <w:t xml:space="preserve"> In other words, there is no single moment in time that can be pinpointed and labeled as the precise moment at which a war crime occurred</w:t>
      </w:r>
      <w:r>
        <w:rPr>
          <w:rFonts w:ascii="Times New Roman" w:hAnsi="Times New Roman" w:cs="Times New Roman"/>
          <w:sz w:val="20"/>
          <w:szCs w:val="20"/>
        </w:rPr>
        <w:t>.</w:t>
      </w:r>
    </w:p>
  </w:footnote>
  <w:footnote w:id="21">
    <w:p w14:paraId="368485AC" w14:textId="407F7571" w:rsidR="00802DBC" w:rsidRPr="00DF383F" w:rsidRDefault="00802DBC" w:rsidP="00DF383F">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DF383F">
        <w:rPr>
          <w:rFonts w:ascii="Times New Roman" w:hAnsi="Times New Roman" w:cs="Times New Roman"/>
          <w:sz w:val="20"/>
          <w:szCs w:val="20"/>
        </w:rPr>
        <w:t xml:space="preserve">Galis et al., </w:t>
      </w:r>
      <w:r w:rsidRPr="00DF383F">
        <w:rPr>
          <w:rFonts w:ascii="Times New Roman" w:hAnsi="Times New Roman" w:cs="Times New Roman"/>
          <w:i/>
          <w:iCs/>
          <w:sz w:val="20"/>
          <w:szCs w:val="20"/>
        </w:rPr>
        <w:t>supra</w:t>
      </w:r>
      <w:r w:rsidRPr="00DF383F">
        <w:rPr>
          <w:rFonts w:ascii="Times New Roman" w:hAnsi="Times New Roman" w:cs="Times New Roman"/>
          <w:sz w:val="20"/>
          <w:szCs w:val="20"/>
        </w:rPr>
        <w:t xml:space="preserve"> note 1, at 7. </w:t>
      </w:r>
    </w:p>
  </w:footnote>
  <w:footnote w:id="22">
    <w:p w14:paraId="35F7E42B" w14:textId="14B5A563" w:rsidR="00802DBC" w:rsidRPr="00DF383F" w:rsidRDefault="00802DBC" w:rsidP="007B2ECC">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“Risk Factors</w:t>
      </w:r>
      <w:r w:rsidRPr="00EF740A">
        <w:rPr>
          <w:rFonts w:asciiTheme="majorBidi" w:hAnsiTheme="majorBidi" w:cstheme="majorBidi"/>
          <w:b/>
          <w:bCs/>
          <w:sz w:val="20"/>
          <w:szCs w:val="20"/>
        </w:rPr>
        <w:t xml:space="preserve"> </w:t>
      </w:r>
      <w:r w:rsidRPr="00EF740A">
        <w:rPr>
          <w:rFonts w:asciiTheme="majorBidi" w:hAnsiTheme="majorBidi" w:cstheme="majorBidi"/>
          <w:sz w:val="20"/>
          <w:szCs w:val="20"/>
        </w:rPr>
        <w:t xml:space="preserve">are conditions that increase the risk of or susceptibility to </w:t>
      </w:r>
      <w:r w:rsidRPr="00CA2399">
        <w:rPr>
          <w:rFonts w:asciiTheme="majorBidi" w:hAnsiTheme="majorBidi" w:cstheme="majorBidi"/>
          <w:sz w:val="20"/>
          <w:szCs w:val="20"/>
        </w:rPr>
        <w:t>negative outcomes.</w:t>
      </w:r>
      <w:r>
        <w:rPr>
          <w:rFonts w:asciiTheme="majorBidi" w:hAnsiTheme="majorBidi" w:cstheme="majorBidi"/>
          <w:sz w:val="20"/>
          <w:szCs w:val="20"/>
        </w:rPr>
        <w:t xml:space="preserve"> </w:t>
      </w:r>
      <w:r w:rsidRPr="00CA2399">
        <w:rPr>
          <w:rFonts w:asciiTheme="majorBidi" w:hAnsiTheme="majorBidi" w:cstheme="majorBidi"/>
          <w:sz w:val="20"/>
          <w:szCs w:val="20"/>
        </w:rPr>
        <w:t xml:space="preserve">Those identified in this framework include </w:t>
      </w:r>
      <w:proofErr w:type="spellStart"/>
      <w:r w:rsidRPr="00CA2399">
        <w:rPr>
          <w:rFonts w:asciiTheme="majorBidi" w:hAnsiTheme="majorBidi" w:cstheme="majorBidi"/>
          <w:sz w:val="20"/>
          <w:szCs w:val="20"/>
        </w:rPr>
        <w:t>behaviours</w:t>
      </w:r>
      <w:proofErr w:type="spellEnd"/>
      <w:r w:rsidRPr="00CA2399">
        <w:rPr>
          <w:rFonts w:asciiTheme="majorBidi" w:hAnsiTheme="majorBidi" w:cstheme="majorBidi"/>
          <w:sz w:val="20"/>
          <w:szCs w:val="20"/>
        </w:rPr>
        <w:t>, circumstances or elements that create an environment conducive to the commission of atrocity crimes, or indicate the potential, probability or risk of their occurrence.”</w:t>
      </w:r>
      <w:r>
        <w:rPr>
          <w:rFonts w:asciiTheme="majorBidi" w:hAnsiTheme="majorBidi" w:cstheme="majorBidi"/>
          <w:sz w:val="20"/>
          <w:szCs w:val="20"/>
        </w:rPr>
        <w:t xml:space="preserve"> </w:t>
      </w:r>
      <w:r>
        <w:rPr>
          <w:rFonts w:ascii="Times New Roman" w:hAnsi="Times New Roman" w:cs="Times New Roman"/>
          <w:sz w:val="20"/>
          <w:szCs w:val="20"/>
        </w:rPr>
        <w:t>U.N.</w:t>
      </w:r>
      <w:r w:rsidRPr="00DF383F">
        <w:rPr>
          <w:rFonts w:ascii="Times New Roman" w:hAnsi="Times New Roman" w:cs="Times New Roman"/>
          <w:sz w:val="20"/>
          <w:szCs w:val="20"/>
        </w:rPr>
        <w:t xml:space="preserve"> Framework of Analysis, </w:t>
      </w:r>
      <w:r w:rsidRPr="00DF383F">
        <w:rPr>
          <w:rFonts w:ascii="Times New Roman" w:hAnsi="Times New Roman" w:cs="Times New Roman"/>
          <w:i/>
          <w:iCs/>
          <w:sz w:val="20"/>
          <w:szCs w:val="20"/>
        </w:rPr>
        <w:t>supra</w:t>
      </w:r>
      <w:r w:rsidRPr="00DF383F">
        <w:rPr>
          <w:rFonts w:ascii="Times New Roman" w:hAnsi="Times New Roman" w:cs="Times New Roman"/>
          <w:sz w:val="20"/>
          <w:szCs w:val="20"/>
        </w:rPr>
        <w:t xml:space="preserve"> note 1</w:t>
      </w:r>
      <w:r>
        <w:rPr>
          <w:rFonts w:ascii="Times New Roman" w:hAnsi="Times New Roman" w:cs="Times New Roman"/>
          <w:sz w:val="20"/>
          <w:szCs w:val="20"/>
        </w:rPr>
        <w:t>9</w:t>
      </w:r>
      <w:r w:rsidRPr="00DF383F">
        <w:rPr>
          <w:rFonts w:ascii="Times New Roman" w:hAnsi="Times New Roman" w:cs="Times New Roman"/>
          <w:sz w:val="20"/>
          <w:szCs w:val="20"/>
        </w:rPr>
        <w:t>.</w:t>
      </w:r>
    </w:p>
  </w:footnote>
  <w:footnote w:id="23">
    <w:p w14:paraId="0E6CA990" w14:textId="06D01E91" w:rsidR="00802DBC" w:rsidRPr="00DF383F" w:rsidRDefault="00802DBC" w:rsidP="00102CE6">
      <w:pPr>
        <w:pStyle w:val="FootnoteText"/>
        <w:ind w:firstLine="144"/>
        <w:jc w:val="both"/>
        <w:rPr>
          <w:rFonts w:ascii="Times New Roman" w:hAnsi="Times New Roman" w:cs="Times New Roman"/>
          <w:i/>
          <w:iCs/>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“The indicators</w:t>
      </w:r>
      <w:r w:rsidRPr="00EF740A">
        <w:rPr>
          <w:rFonts w:ascii="Times New Roman" w:hAnsi="Times New Roman" w:cs="Times New Roman"/>
          <w:b/>
          <w:bCs/>
          <w:sz w:val="20"/>
          <w:szCs w:val="20"/>
        </w:rPr>
        <w:t xml:space="preserve"> </w:t>
      </w:r>
      <w:r w:rsidRPr="00EF740A">
        <w:rPr>
          <w:rFonts w:ascii="Times New Roman" w:hAnsi="Times New Roman" w:cs="Times New Roman"/>
          <w:sz w:val="20"/>
          <w:szCs w:val="20"/>
        </w:rPr>
        <w:t>include</w:t>
      </w:r>
      <w:r w:rsidRPr="00CA2399">
        <w:rPr>
          <w:rFonts w:ascii="Times New Roman" w:hAnsi="Times New Roman" w:cs="Times New Roman"/>
          <w:sz w:val="20"/>
          <w:szCs w:val="20"/>
        </w:rPr>
        <w:t xml:space="preserve">d in this framework are different manifestations of each risk factor, and therefore assist in determining the degree to which an individual risk factor is present.” </w:t>
      </w:r>
      <w:r w:rsidRPr="00DF383F">
        <w:rPr>
          <w:rFonts w:ascii="Times New Roman" w:hAnsi="Times New Roman" w:cs="Times New Roman"/>
          <w:i/>
          <w:iCs/>
          <w:sz w:val="20"/>
          <w:szCs w:val="20"/>
        </w:rPr>
        <w:t xml:space="preserve">Id. </w:t>
      </w:r>
    </w:p>
  </w:footnote>
  <w:footnote w:id="24">
    <w:p w14:paraId="10AC0909" w14:textId="21349340" w:rsidR="00802DBC" w:rsidRPr="00CA2399" w:rsidRDefault="00802DBC" w:rsidP="00257212">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Pr>
          <w:rFonts w:asciiTheme="majorBidi" w:hAnsiTheme="majorBidi" w:cstheme="majorBidi"/>
          <w:i/>
          <w:iCs/>
          <w:sz w:val="20"/>
          <w:szCs w:val="20"/>
        </w:rPr>
        <w:t xml:space="preserve"> Id</w:t>
      </w:r>
      <w:r w:rsidRPr="00EF740A">
        <w:rPr>
          <w:rFonts w:asciiTheme="majorBidi" w:hAnsiTheme="majorBidi" w:cstheme="majorBidi"/>
          <w:sz w:val="20"/>
          <w:szCs w:val="20"/>
        </w:rPr>
        <w:t>.</w:t>
      </w:r>
    </w:p>
  </w:footnote>
  <w:footnote w:id="25">
    <w:p w14:paraId="32E36AD9" w14:textId="77777777" w:rsidR="00802DBC" w:rsidRPr="00DF383F" w:rsidRDefault="00802DBC" w:rsidP="00DF383F">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DF383F">
        <w:rPr>
          <w:rFonts w:ascii="Times New Roman" w:hAnsi="Times New Roman" w:cs="Times New Roman"/>
          <w:i/>
          <w:sz w:val="20"/>
          <w:szCs w:val="20"/>
        </w:rPr>
        <w:t>Id</w:t>
      </w:r>
      <w:r w:rsidRPr="00445C4C">
        <w:rPr>
          <w:rFonts w:ascii="Times New Roman" w:hAnsi="Times New Roman" w:cs="Times New Roman"/>
          <w:sz w:val="20"/>
          <w:szCs w:val="20"/>
        </w:rPr>
        <w:t>.</w:t>
      </w:r>
    </w:p>
  </w:footnote>
  <w:footnote w:id="26">
    <w:p w14:paraId="40115017" w14:textId="06482BAC" w:rsidR="00802DBC" w:rsidRPr="00DF383F" w:rsidRDefault="00802DBC" w:rsidP="00DF383F">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DF383F">
        <w:rPr>
          <w:rFonts w:ascii="Times New Roman" w:hAnsi="Times New Roman" w:cs="Times New Roman"/>
          <w:i/>
          <w:sz w:val="20"/>
          <w:szCs w:val="20"/>
        </w:rPr>
        <w:t xml:space="preserve">See generally </w:t>
      </w:r>
      <w:r w:rsidRPr="00DF383F">
        <w:rPr>
          <w:rFonts w:ascii="Times New Roman" w:hAnsi="Times New Roman" w:cs="Times New Roman"/>
          <w:iCs/>
          <w:sz w:val="20"/>
          <w:szCs w:val="20"/>
        </w:rPr>
        <w:t xml:space="preserve">ICISS, </w:t>
      </w:r>
      <w:r w:rsidRPr="00DF383F">
        <w:rPr>
          <w:rFonts w:ascii="Times New Roman" w:hAnsi="Times New Roman" w:cs="Times New Roman"/>
          <w:i/>
          <w:sz w:val="20"/>
          <w:szCs w:val="20"/>
        </w:rPr>
        <w:t>supra</w:t>
      </w:r>
      <w:r w:rsidRPr="00DF383F">
        <w:rPr>
          <w:rFonts w:ascii="Times New Roman" w:hAnsi="Times New Roman" w:cs="Times New Roman"/>
          <w:iCs/>
          <w:sz w:val="20"/>
          <w:szCs w:val="20"/>
        </w:rPr>
        <w:t xml:space="preserve"> note 4</w:t>
      </w:r>
      <w:r w:rsidRPr="00DF383F">
        <w:rPr>
          <w:rFonts w:ascii="Times New Roman" w:hAnsi="Times New Roman" w:cs="Times New Roman"/>
          <w:sz w:val="20"/>
          <w:szCs w:val="20"/>
        </w:rPr>
        <w:t xml:space="preserve">; </w:t>
      </w:r>
      <w:r>
        <w:rPr>
          <w:rFonts w:ascii="Times New Roman" w:hAnsi="Times New Roman" w:cs="Times New Roman"/>
          <w:sz w:val="20"/>
          <w:szCs w:val="20"/>
        </w:rPr>
        <w:t>U.N.</w:t>
      </w:r>
      <w:r w:rsidRPr="00EF740A">
        <w:rPr>
          <w:rFonts w:ascii="Times New Roman" w:hAnsi="Times New Roman" w:cs="Times New Roman"/>
          <w:sz w:val="20"/>
          <w:szCs w:val="20"/>
        </w:rPr>
        <w:t xml:space="preserve"> Framework of Analysis, </w:t>
      </w:r>
      <w:r w:rsidRPr="00EF740A">
        <w:rPr>
          <w:rFonts w:ascii="Times New Roman" w:hAnsi="Times New Roman" w:cs="Times New Roman"/>
          <w:i/>
          <w:iCs/>
          <w:sz w:val="20"/>
          <w:szCs w:val="20"/>
        </w:rPr>
        <w:t>supra</w:t>
      </w:r>
      <w:r w:rsidRPr="00EF740A">
        <w:rPr>
          <w:rFonts w:ascii="Times New Roman" w:hAnsi="Times New Roman" w:cs="Times New Roman"/>
          <w:sz w:val="20"/>
          <w:szCs w:val="20"/>
        </w:rPr>
        <w:t xml:space="preserve"> note 1</w:t>
      </w:r>
      <w:r>
        <w:rPr>
          <w:rFonts w:ascii="Times New Roman" w:hAnsi="Times New Roman" w:cs="Times New Roman"/>
          <w:sz w:val="20"/>
          <w:szCs w:val="20"/>
        </w:rPr>
        <w:t>9</w:t>
      </w:r>
      <w:r w:rsidRPr="00EF740A">
        <w:rPr>
          <w:rFonts w:ascii="Times New Roman" w:hAnsi="Times New Roman" w:cs="Times New Roman"/>
          <w:sz w:val="20"/>
          <w:szCs w:val="20"/>
        </w:rPr>
        <w:t>.</w:t>
      </w:r>
    </w:p>
  </w:footnote>
  <w:footnote w:id="27">
    <w:p w14:paraId="733A48A3" w14:textId="76EF850A" w:rsidR="00802DBC" w:rsidRPr="00DF383F" w:rsidRDefault="00802DBC" w:rsidP="00DF383F">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In this context, “enabling circumstances” refers to those conditions </w:t>
      </w:r>
      <w:r>
        <w:rPr>
          <w:rFonts w:ascii="Times New Roman" w:hAnsi="Times New Roman" w:cs="Times New Roman"/>
          <w:sz w:val="20"/>
          <w:szCs w:val="20"/>
        </w:rPr>
        <w:t>that</w:t>
      </w:r>
      <w:r w:rsidRPr="00EF740A">
        <w:rPr>
          <w:rFonts w:ascii="Times New Roman" w:hAnsi="Times New Roman" w:cs="Times New Roman"/>
          <w:sz w:val="20"/>
          <w:szCs w:val="20"/>
        </w:rPr>
        <w:t xml:space="preserve"> could be conducive to the perpetration of mass atrocity—situations in which potential perpetrators have taken positive steps toward executing atrocity crimes. A more detailed explan</w:t>
      </w:r>
      <w:r w:rsidRPr="00CA2399">
        <w:rPr>
          <w:rFonts w:ascii="Times New Roman" w:hAnsi="Times New Roman" w:cs="Times New Roman"/>
          <w:sz w:val="20"/>
          <w:szCs w:val="20"/>
        </w:rPr>
        <w:t xml:space="preserve">ation of how these situations are conceptualized within the </w:t>
      </w:r>
      <w:r>
        <w:rPr>
          <w:rFonts w:ascii="Times New Roman" w:hAnsi="Times New Roman" w:cs="Times New Roman"/>
          <w:sz w:val="20"/>
          <w:szCs w:val="20"/>
        </w:rPr>
        <w:t>U.N.</w:t>
      </w:r>
      <w:r w:rsidRPr="00CA2399">
        <w:rPr>
          <w:rFonts w:ascii="Times New Roman" w:hAnsi="Times New Roman" w:cs="Times New Roman"/>
          <w:sz w:val="20"/>
          <w:szCs w:val="20"/>
        </w:rPr>
        <w:t xml:space="preserve"> Framework of Analysis can be found in </w:t>
      </w:r>
      <w:r w:rsidRPr="00DF383F">
        <w:rPr>
          <w:rFonts w:ascii="Times New Roman" w:hAnsi="Times New Roman" w:cs="Times New Roman"/>
          <w:i/>
          <w:sz w:val="20"/>
          <w:szCs w:val="20"/>
        </w:rPr>
        <w:t>infra</w:t>
      </w:r>
      <w:r w:rsidRPr="00CA2399">
        <w:rPr>
          <w:rFonts w:ascii="Times New Roman" w:hAnsi="Times New Roman" w:cs="Times New Roman"/>
          <w:sz w:val="20"/>
          <w:szCs w:val="20"/>
        </w:rPr>
        <w:t xml:space="preserve"> Section IV (C)</w:t>
      </w:r>
      <w:r w:rsidRPr="00DF383F">
        <w:rPr>
          <w:rFonts w:ascii="Times New Roman" w:hAnsi="Times New Roman" w:cs="Times New Roman"/>
          <w:sz w:val="20"/>
          <w:szCs w:val="20"/>
        </w:rPr>
        <w:t>.</w:t>
      </w:r>
    </w:p>
  </w:footnote>
  <w:footnote w:id="28">
    <w:p w14:paraId="1E017D98" w14:textId="77777777" w:rsidR="00802DBC" w:rsidRPr="00CA2399" w:rsidRDefault="00802DBC" w:rsidP="00DF383F">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When a Risk Factor is described as “common,” this means that rather than serving as a warning sign for a specific atrocity crime, it is applicable to atrocity crimes in general. </w:t>
      </w:r>
    </w:p>
  </w:footnote>
  <w:footnote w:id="29">
    <w:p w14:paraId="3A3BE4BF" w14:textId="08073971" w:rsidR="00802DBC" w:rsidRPr="00DF383F" w:rsidRDefault="00802DBC" w:rsidP="00DF383F">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t xml:space="preserve"> </w:t>
      </w:r>
      <w:r w:rsidRPr="00DF383F">
        <w:rPr>
          <w:rFonts w:ascii="Times New Roman" w:hAnsi="Times New Roman" w:cs="Times New Roman"/>
          <w:i/>
          <w:sz w:val="20"/>
          <w:szCs w:val="20"/>
        </w:rPr>
        <w:t>See</w:t>
      </w:r>
      <w:r w:rsidRPr="00DF383F">
        <w:rPr>
          <w:rFonts w:ascii="Times New Roman" w:hAnsi="Times New Roman" w:cs="Times New Roman"/>
          <w:sz w:val="20"/>
          <w:szCs w:val="20"/>
        </w:rPr>
        <w:t xml:space="preserve"> </w:t>
      </w:r>
      <w:r>
        <w:rPr>
          <w:rFonts w:ascii="Times New Roman" w:hAnsi="Times New Roman" w:cs="Times New Roman"/>
          <w:sz w:val="20"/>
          <w:szCs w:val="20"/>
        </w:rPr>
        <w:t>U.N.</w:t>
      </w:r>
      <w:r w:rsidRPr="00EF740A">
        <w:rPr>
          <w:rFonts w:ascii="Times New Roman" w:hAnsi="Times New Roman" w:cs="Times New Roman"/>
          <w:sz w:val="20"/>
          <w:szCs w:val="20"/>
        </w:rPr>
        <w:t xml:space="preserve"> Framework of Analysis, </w:t>
      </w:r>
      <w:r w:rsidRPr="00EF740A">
        <w:rPr>
          <w:rFonts w:ascii="Times New Roman" w:hAnsi="Times New Roman" w:cs="Times New Roman"/>
          <w:i/>
          <w:iCs/>
          <w:sz w:val="20"/>
          <w:szCs w:val="20"/>
        </w:rPr>
        <w:t xml:space="preserve">supra </w:t>
      </w:r>
      <w:r w:rsidRPr="00EF740A">
        <w:rPr>
          <w:rFonts w:ascii="Times New Roman" w:hAnsi="Times New Roman" w:cs="Times New Roman"/>
          <w:sz w:val="20"/>
          <w:szCs w:val="20"/>
        </w:rPr>
        <w:t>note 1</w:t>
      </w:r>
      <w:r>
        <w:rPr>
          <w:rFonts w:ascii="Times New Roman" w:hAnsi="Times New Roman" w:cs="Times New Roman"/>
          <w:sz w:val="20"/>
          <w:szCs w:val="20"/>
        </w:rPr>
        <w:t>9</w:t>
      </w:r>
      <w:r w:rsidRPr="00EF740A">
        <w:rPr>
          <w:rFonts w:ascii="Times New Roman" w:hAnsi="Times New Roman" w:cs="Times New Roman"/>
          <w:sz w:val="20"/>
          <w:szCs w:val="20"/>
        </w:rPr>
        <w:t xml:space="preserve">. </w:t>
      </w:r>
    </w:p>
  </w:footnote>
  <w:footnote w:id="30">
    <w:p w14:paraId="032A2EC5" w14:textId="76D18E46" w:rsidR="00802DBC" w:rsidRPr="00EF740A" w:rsidRDefault="00802DBC" w:rsidP="00DF383F">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Or other forms of Alternative Dispute Resolution. </w:t>
      </w:r>
      <w:r w:rsidRPr="00DF383F">
        <w:rPr>
          <w:rFonts w:asciiTheme="majorBidi" w:hAnsiTheme="majorBidi" w:cstheme="majorBidi"/>
          <w:i/>
          <w:iCs/>
          <w:sz w:val="20"/>
          <w:szCs w:val="20"/>
        </w:rPr>
        <w:t>See</w:t>
      </w:r>
      <w:r w:rsidRPr="00DF383F">
        <w:rPr>
          <w:rFonts w:asciiTheme="majorBidi" w:hAnsiTheme="majorBidi" w:cstheme="majorBidi"/>
          <w:sz w:val="20"/>
          <w:szCs w:val="20"/>
        </w:rPr>
        <w:t xml:space="preserve"> </w:t>
      </w:r>
      <w:r w:rsidRPr="00DF383F">
        <w:rPr>
          <w:rFonts w:asciiTheme="majorBidi" w:hAnsiTheme="majorBidi" w:cstheme="majorBidi"/>
          <w:i/>
          <w:iCs/>
          <w:sz w:val="20"/>
          <w:szCs w:val="20"/>
        </w:rPr>
        <w:t>infra</w:t>
      </w:r>
      <w:r w:rsidRPr="00DF383F">
        <w:rPr>
          <w:rFonts w:asciiTheme="majorBidi" w:hAnsiTheme="majorBidi" w:cstheme="majorBidi"/>
          <w:sz w:val="20"/>
          <w:szCs w:val="20"/>
        </w:rPr>
        <w:t xml:space="preserve"> Section III (B).</w:t>
      </w:r>
    </w:p>
  </w:footnote>
  <w:footnote w:id="31">
    <w:p w14:paraId="7B7498B3" w14:textId="05558059" w:rsidR="00802DBC" w:rsidRPr="00DF383F" w:rsidRDefault="00802DBC" w:rsidP="00DF383F">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Pr>
          <w:rFonts w:ascii="Times New Roman" w:hAnsi="Times New Roman" w:cs="Times New Roman"/>
          <w:sz w:val="20"/>
          <w:szCs w:val="20"/>
        </w:rPr>
        <w:t>U.N.</w:t>
      </w:r>
      <w:r w:rsidRPr="00EF740A">
        <w:rPr>
          <w:rFonts w:ascii="Times New Roman" w:hAnsi="Times New Roman" w:cs="Times New Roman"/>
          <w:sz w:val="20"/>
          <w:szCs w:val="20"/>
        </w:rPr>
        <w:t xml:space="preserve"> Framework of Analysis, </w:t>
      </w:r>
      <w:r w:rsidRPr="00EF740A">
        <w:rPr>
          <w:rFonts w:ascii="Times New Roman" w:hAnsi="Times New Roman" w:cs="Times New Roman"/>
          <w:i/>
          <w:iCs/>
          <w:sz w:val="20"/>
          <w:szCs w:val="20"/>
        </w:rPr>
        <w:t>supra</w:t>
      </w:r>
      <w:r w:rsidRPr="00EF740A">
        <w:rPr>
          <w:rFonts w:ascii="Times New Roman" w:hAnsi="Times New Roman" w:cs="Times New Roman"/>
          <w:sz w:val="20"/>
          <w:szCs w:val="20"/>
        </w:rPr>
        <w:t xml:space="preserve"> note 1</w:t>
      </w:r>
      <w:r>
        <w:rPr>
          <w:rFonts w:ascii="Times New Roman" w:hAnsi="Times New Roman" w:cs="Times New Roman"/>
          <w:sz w:val="20"/>
          <w:szCs w:val="20"/>
        </w:rPr>
        <w:t>9</w:t>
      </w:r>
      <w:r w:rsidRPr="00EF740A">
        <w:rPr>
          <w:rFonts w:ascii="Times New Roman" w:hAnsi="Times New Roman" w:cs="Times New Roman"/>
          <w:sz w:val="20"/>
          <w:szCs w:val="20"/>
        </w:rPr>
        <w:t>. (Risk</w:t>
      </w:r>
      <w:r w:rsidRPr="00CA2399">
        <w:rPr>
          <w:rFonts w:ascii="Times New Roman" w:hAnsi="Times New Roman" w:cs="Times New Roman"/>
          <w:sz w:val="20"/>
          <w:szCs w:val="20"/>
        </w:rPr>
        <w:t xml:space="preserve"> Factor 7 addresses enabling circumstances or preparatory action.)</w:t>
      </w:r>
      <w:r>
        <w:rPr>
          <w:rFonts w:ascii="Times New Roman" w:hAnsi="Times New Roman" w:cs="Times New Roman"/>
          <w:sz w:val="20"/>
          <w:szCs w:val="20"/>
        </w:rPr>
        <w:t>.</w:t>
      </w:r>
    </w:p>
  </w:footnote>
  <w:footnote w:id="32">
    <w:p w14:paraId="33D3BA99" w14:textId="4F96E2DD" w:rsidR="00802DBC" w:rsidRPr="00DF383F" w:rsidRDefault="00802DBC" w:rsidP="00DF383F">
      <w:pPr>
        <w:pStyle w:val="FootnoteText"/>
        <w:ind w:firstLine="144"/>
        <w:jc w:val="both"/>
        <w:rPr>
          <w:rFonts w:asciiTheme="majorBidi" w:hAnsiTheme="majorBidi" w:cstheme="majorBidi"/>
          <w:sz w:val="20"/>
          <w:szCs w:val="20"/>
        </w:rPr>
      </w:pPr>
      <w:r w:rsidRPr="00DF383F">
        <w:rPr>
          <w:rStyle w:val="FootnoteReference"/>
          <w:rFonts w:asciiTheme="majorBidi" w:hAnsiTheme="majorBidi" w:cstheme="majorBidi"/>
          <w:sz w:val="20"/>
          <w:szCs w:val="20"/>
        </w:rPr>
        <w:footnoteRef/>
      </w:r>
      <w:r w:rsidRPr="00DF383F">
        <w:rPr>
          <w:rFonts w:asciiTheme="majorBidi" w:hAnsiTheme="majorBidi" w:cstheme="majorBidi"/>
          <w:sz w:val="20"/>
          <w:szCs w:val="20"/>
        </w:rPr>
        <w:t xml:space="preserve"> Violent conflict is not necessarily an atrocity crime. While “atrocity crime” refers specifically to genocide, crimes against humanity, and war crimes, “violent conflict” is a broader term, encompassing any use of force by two or more parties. </w:t>
      </w:r>
      <w:r w:rsidRPr="00DF383F">
        <w:rPr>
          <w:rFonts w:asciiTheme="majorBidi" w:hAnsiTheme="majorBidi" w:cstheme="majorBidi"/>
          <w:smallCaps/>
          <w:sz w:val="20"/>
          <w:szCs w:val="20"/>
        </w:rPr>
        <w:t>Payson Conflict Study Grp</w:t>
      </w:r>
      <w:r>
        <w:rPr>
          <w:rFonts w:asciiTheme="majorBidi" w:hAnsiTheme="majorBidi" w:cstheme="majorBidi"/>
          <w:smallCaps/>
          <w:sz w:val="20"/>
          <w:szCs w:val="20"/>
        </w:rPr>
        <w:t>.,</w:t>
      </w:r>
      <w:r w:rsidRPr="00DF383F">
        <w:rPr>
          <w:rFonts w:asciiTheme="majorBidi" w:hAnsiTheme="majorBidi" w:cstheme="majorBidi"/>
          <w:i/>
          <w:iCs/>
          <w:sz w:val="20"/>
          <w:szCs w:val="20"/>
        </w:rPr>
        <w:t xml:space="preserve"> </w:t>
      </w:r>
      <w:r w:rsidRPr="00445C4C">
        <w:rPr>
          <w:rFonts w:ascii="Times New Roman (Theme Headings" w:hAnsi="Times New Roman (Theme Headings" w:cstheme="majorBidi"/>
          <w:smallCaps/>
          <w:sz w:val="20"/>
          <w:szCs w:val="20"/>
        </w:rPr>
        <w:t>A Glossary on Violent Conflict</w:t>
      </w:r>
      <w:r w:rsidR="00AE548F">
        <w:rPr>
          <w:rFonts w:asciiTheme="majorBidi" w:hAnsiTheme="majorBidi" w:cstheme="majorBidi"/>
          <w:iCs/>
          <w:sz w:val="20"/>
          <w:szCs w:val="20"/>
        </w:rPr>
        <w:t xml:space="preserve"> </w:t>
      </w:r>
      <w:r w:rsidRPr="00DF383F">
        <w:rPr>
          <w:rFonts w:asciiTheme="majorBidi" w:hAnsiTheme="majorBidi" w:cstheme="majorBidi"/>
          <w:sz w:val="20"/>
          <w:szCs w:val="20"/>
        </w:rPr>
        <w:t>(2001)</w:t>
      </w:r>
      <w:r>
        <w:rPr>
          <w:rFonts w:asciiTheme="majorBidi" w:hAnsiTheme="majorBidi" w:cstheme="majorBidi"/>
          <w:sz w:val="20"/>
          <w:szCs w:val="20"/>
        </w:rPr>
        <w:t>,</w:t>
      </w:r>
      <w:r w:rsidRPr="00DF383F">
        <w:rPr>
          <w:rFonts w:asciiTheme="majorBidi" w:hAnsiTheme="majorBidi" w:cstheme="majorBidi"/>
          <w:sz w:val="20"/>
          <w:szCs w:val="20"/>
        </w:rPr>
        <w:t xml:space="preserve"> http://reliefweb.int/sites/reliefweb.int/files/resources/6C8E6652532FE542C12575DD00444F2D-USAID_may01.pdf.</w:t>
      </w:r>
    </w:p>
  </w:footnote>
  <w:footnote w:id="33">
    <w:p w14:paraId="0D6A2199" w14:textId="53C5CEED" w:rsidR="00802DBC" w:rsidRPr="00DF383F" w:rsidRDefault="00802DBC" w:rsidP="00DF383F">
      <w:pPr>
        <w:pStyle w:val="FootnoteText"/>
        <w:ind w:firstLine="144"/>
        <w:jc w:val="both"/>
        <w:rPr>
          <w:rFonts w:ascii="Times New Roman" w:hAnsi="Times New Roman" w:cs="Times New Roman"/>
          <w:sz w:val="20"/>
          <w:szCs w:val="20"/>
        </w:rPr>
      </w:pPr>
      <w:r w:rsidRPr="00DF383F">
        <w:rPr>
          <w:rStyle w:val="FootnoteReference"/>
          <w:rFonts w:ascii="Times New Roman" w:hAnsi="Times New Roman" w:cs="Times New Roman"/>
          <w:sz w:val="20"/>
          <w:szCs w:val="20"/>
        </w:rPr>
        <w:footnoteRef/>
      </w:r>
      <w:r w:rsidRPr="00DF383F">
        <w:rPr>
          <w:rFonts w:ascii="Times New Roman" w:hAnsi="Times New Roman" w:cs="Times New Roman"/>
          <w:sz w:val="20"/>
          <w:szCs w:val="20"/>
        </w:rPr>
        <w:t xml:space="preserve"> </w:t>
      </w:r>
      <w:r w:rsidRPr="00DF383F">
        <w:rPr>
          <w:rFonts w:ascii="Times New Roman" w:hAnsi="Times New Roman" w:cs="Times New Roman"/>
          <w:i/>
          <w:sz w:val="20"/>
          <w:szCs w:val="20"/>
        </w:rPr>
        <w:t>See</w:t>
      </w:r>
      <w:r w:rsidRPr="00DF383F">
        <w:rPr>
          <w:rFonts w:ascii="Times New Roman" w:hAnsi="Times New Roman" w:cs="Times New Roman"/>
          <w:sz w:val="20"/>
          <w:szCs w:val="20"/>
        </w:rPr>
        <w:t xml:space="preserve"> </w:t>
      </w:r>
      <w:r w:rsidRPr="00DF383F">
        <w:rPr>
          <w:rFonts w:ascii="Times New Roman" w:hAnsi="Times New Roman" w:cs="Times New Roman"/>
          <w:i/>
          <w:sz w:val="20"/>
          <w:szCs w:val="20"/>
        </w:rPr>
        <w:t>infra</w:t>
      </w:r>
      <w:r w:rsidRPr="00DF383F">
        <w:rPr>
          <w:rFonts w:ascii="Times New Roman" w:hAnsi="Times New Roman" w:cs="Times New Roman"/>
          <w:sz w:val="20"/>
          <w:szCs w:val="20"/>
        </w:rPr>
        <w:t xml:space="preserve"> Section II (B).</w:t>
      </w:r>
    </w:p>
  </w:footnote>
  <w:footnote w:id="34">
    <w:p w14:paraId="6BF72142" w14:textId="37A372DB" w:rsidR="00802DBC" w:rsidRPr="00DF383F" w:rsidRDefault="00802DBC" w:rsidP="00DF383F">
      <w:pPr>
        <w:pStyle w:val="FootnoteText"/>
        <w:ind w:firstLine="144"/>
        <w:jc w:val="both"/>
        <w:rPr>
          <w:rFonts w:ascii="Times New Roman" w:hAnsi="Times New Roman" w:cs="Times New Roman"/>
          <w:sz w:val="20"/>
          <w:szCs w:val="20"/>
        </w:rPr>
      </w:pPr>
      <w:r w:rsidRPr="00DF383F">
        <w:rPr>
          <w:rStyle w:val="FootnoteReference"/>
          <w:rFonts w:ascii="Times New Roman" w:hAnsi="Times New Roman" w:cs="Times New Roman"/>
          <w:sz w:val="20"/>
          <w:szCs w:val="20"/>
        </w:rPr>
        <w:footnoteRef/>
      </w:r>
      <w:r w:rsidRPr="00DF383F">
        <w:rPr>
          <w:rFonts w:ascii="Times New Roman" w:hAnsi="Times New Roman" w:cs="Times New Roman"/>
          <w:sz w:val="20"/>
          <w:szCs w:val="20"/>
        </w:rPr>
        <w:t xml:space="preserve"> U</w:t>
      </w:r>
      <w:r>
        <w:rPr>
          <w:rFonts w:ascii="Times New Roman" w:hAnsi="Times New Roman" w:cs="Times New Roman"/>
          <w:sz w:val="20"/>
          <w:szCs w:val="20"/>
        </w:rPr>
        <w:t>.</w:t>
      </w:r>
      <w:r w:rsidRPr="00DF383F">
        <w:rPr>
          <w:rFonts w:ascii="Times New Roman" w:hAnsi="Times New Roman" w:cs="Times New Roman"/>
          <w:sz w:val="20"/>
          <w:szCs w:val="20"/>
        </w:rPr>
        <w:t>N</w:t>
      </w:r>
      <w:r>
        <w:rPr>
          <w:rFonts w:ascii="Times New Roman" w:hAnsi="Times New Roman" w:cs="Times New Roman"/>
          <w:sz w:val="20"/>
          <w:szCs w:val="20"/>
        </w:rPr>
        <w:t>.</w:t>
      </w:r>
      <w:r w:rsidRPr="00DF383F">
        <w:rPr>
          <w:rFonts w:ascii="Times New Roman" w:hAnsi="Times New Roman" w:cs="Times New Roman"/>
          <w:sz w:val="20"/>
          <w:szCs w:val="20"/>
        </w:rPr>
        <w:t xml:space="preserve"> Charter art. 1,</w:t>
      </w:r>
      <w:r>
        <w:rPr>
          <w:rFonts w:ascii="Times New Roman" w:hAnsi="Times New Roman" w:cs="Times New Roman"/>
          <w:sz w:val="20"/>
          <w:szCs w:val="20"/>
        </w:rPr>
        <w:t xml:space="preserve"> </w:t>
      </w:r>
      <w:r w:rsidRPr="00DF383F">
        <w:rPr>
          <w:rFonts w:ascii="Times New Roman" w:hAnsi="Times New Roman" w:cs="Times New Roman"/>
          <w:sz w:val="20"/>
          <w:szCs w:val="20"/>
        </w:rPr>
        <w:t>¶ 1.</w:t>
      </w:r>
    </w:p>
  </w:footnote>
  <w:footnote w:id="35">
    <w:p w14:paraId="23CB8FFE" w14:textId="2788BEC7" w:rsidR="00802DBC" w:rsidRPr="00DF383F" w:rsidRDefault="00802DBC" w:rsidP="00DF383F">
      <w:pPr>
        <w:pStyle w:val="FootnoteText"/>
        <w:ind w:firstLine="144"/>
        <w:jc w:val="both"/>
        <w:rPr>
          <w:rFonts w:ascii="Times New Roman" w:hAnsi="Times New Roman" w:cs="Times New Roman"/>
          <w:i/>
          <w:iCs/>
          <w:sz w:val="20"/>
          <w:szCs w:val="20"/>
        </w:rPr>
      </w:pPr>
      <w:r w:rsidRPr="00DF383F">
        <w:rPr>
          <w:rStyle w:val="FootnoteReference"/>
          <w:rFonts w:ascii="Times New Roman" w:hAnsi="Times New Roman" w:cs="Times New Roman"/>
          <w:sz w:val="20"/>
          <w:szCs w:val="20"/>
        </w:rPr>
        <w:footnoteRef/>
      </w:r>
      <w:r w:rsidRPr="00DF383F">
        <w:rPr>
          <w:rFonts w:ascii="Times New Roman" w:hAnsi="Times New Roman" w:cs="Times New Roman"/>
          <w:sz w:val="20"/>
          <w:szCs w:val="20"/>
        </w:rPr>
        <w:t xml:space="preserve"> </w:t>
      </w:r>
      <w:r w:rsidRPr="00DF383F">
        <w:rPr>
          <w:rFonts w:ascii="Times New Roman" w:hAnsi="Times New Roman" w:cs="Times New Roman"/>
          <w:i/>
          <w:sz w:val="20"/>
          <w:szCs w:val="20"/>
        </w:rPr>
        <w:t>See generally</w:t>
      </w:r>
      <w:r w:rsidRPr="00DF383F">
        <w:rPr>
          <w:rFonts w:ascii="Times New Roman" w:hAnsi="Times New Roman" w:cs="Times New Roman"/>
          <w:sz w:val="20"/>
          <w:szCs w:val="20"/>
        </w:rPr>
        <w:t xml:space="preserve"> U</w:t>
      </w:r>
      <w:r>
        <w:rPr>
          <w:rFonts w:ascii="Times New Roman" w:hAnsi="Times New Roman" w:cs="Times New Roman"/>
          <w:sz w:val="20"/>
          <w:szCs w:val="20"/>
        </w:rPr>
        <w:t>.</w:t>
      </w:r>
      <w:r w:rsidRPr="00DF383F">
        <w:rPr>
          <w:rFonts w:ascii="Times New Roman" w:hAnsi="Times New Roman" w:cs="Times New Roman"/>
          <w:sz w:val="20"/>
          <w:szCs w:val="20"/>
        </w:rPr>
        <w:t>N</w:t>
      </w:r>
      <w:r>
        <w:rPr>
          <w:rFonts w:ascii="Times New Roman" w:hAnsi="Times New Roman" w:cs="Times New Roman"/>
          <w:sz w:val="20"/>
          <w:szCs w:val="20"/>
        </w:rPr>
        <w:t>.</w:t>
      </w:r>
      <w:r w:rsidRPr="00DF383F">
        <w:rPr>
          <w:rFonts w:ascii="Times New Roman" w:hAnsi="Times New Roman" w:cs="Times New Roman"/>
          <w:sz w:val="20"/>
          <w:szCs w:val="20"/>
        </w:rPr>
        <w:t xml:space="preserve"> Charter.</w:t>
      </w:r>
    </w:p>
  </w:footnote>
  <w:footnote w:id="36">
    <w:p w14:paraId="1AB9F87A" w14:textId="616748DD" w:rsidR="00802DBC" w:rsidRPr="00DF383F" w:rsidRDefault="00802DBC" w:rsidP="00252903">
      <w:pPr>
        <w:pStyle w:val="FootnoteText"/>
        <w:ind w:firstLine="144"/>
        <w:jc w:val="both"/>
        <w:rPr>
          <w:rFonts w:ascii="Times New Roman" w:hAnsi="Times New Roman" w:cs="Times New Roman"/>
          <w:sz w:val="20"/>
          <w:szCs w:val="20"/>
        </w:rPr>
      </w:pPr>
      <w:r w:rsidRPr="00DF383F">
        <w:rPr>
          <w:rStyle w:val="FootnoteReference"/>
          <w:rFonts w:ascii="Times New Roman" w:hAnsi="Times New Roman" w:cs="Times New Roman"/>
          <w:sz w:val="20"/>
          <w:szCs w:val="20"/>
        </w:rPr>
        <w:footnoteRef/>
      </w:r>
      <w:r w:rsidRPr="00DF383F">
        <w:rPr>
          <w:rFonts w:ascii="Times New Roman" w:hAnsi="Times New Roman" w:cs="Times New Roman"/>
          <w:sz w:val="20"/>
          <w:szCs w:val="20"/>
        </w:rPr>
        <w:t xml:space="preserve"> </w:t>
      </w:r>
      <w:r w:rsidRPr="00DF383F">
        <w:rPr>
          <w:rFonts w:ascii="Times New Roman" w:hAnsi="Times New Roman" w:cs="Times New Roman"/>
          <w:i/>
          <w:sz w:val="20"/>
          <w:szCs w:val="20"/>
        </w:rPr>
        <w:t>See</w:t>
      </w:r>
      <w:r>
        <w:rPr>
          <w:rFonts w:ascii="Times New Roman" w:hAnsi="Times New Roman" w:cs="Times New Roman"/>
          <w:i/>
          <w:sz w:val="20"/>
          <w:szCs w:val="20"/>
        </w:rPr>
        <w:t xml:space="preserve"> generally</w:t>
      </w:r>
      <w:r w:rsidRPr="00DF383F">
        <w:rPr>
          <w:rFonts w:ascii="Times New Roman" w:hAnsi="Times New Roman" w:cs="Times New Roman"/>
          <w:sz w:val="20"/>
          <w:szCs w:val="20"/>
        </w:rPr>
        <w:t xml:space="preserve"> </w:t>
      </w:r>
      <w:r>
        <w:rPr>
          <w:rFonts w:ascii="Times New Roman" w:hAnsi="Times New Roman" w:cs="Times New Roman"/>
          <w:i/>
          <w:iCs/>
          <w:sz w:val="20"/>
          <w:szCs w:val="20"/>
        </w:rPr>
        <w:t>i</w:t>
      </w:r>
      <w:r w:rsidRPr="00DF383F">
        <w:rPr>
          <w:rFonts w:ascii="Times New Roman" w:hAnsi="Times New Roman" w:cs="Times New Roman"/>
          <w:i/>
          <w:iCs/>
          <w:sz w:val="20"/>
          <w:szCs w:val="20"/>
        </w:rPr>
        <w:t>d.</w:t>
      </w:r>
    </w:p>
  </w:footnote>
  <w:footnote w:id="37">
    <w:p w14:paraId="0763EC97" w14:textId="0E2CD119" w:rsidR="00802DBC" w:rsidRPr="00DF383F" w:rsidRDefault="00802DBC" w:rsidP="00DF383F">
      <w:pPr>
        <w:pStyle w:val="FootnoteText"/>
        <w:ind w:firstLine="144"/>
        <w:jc w:val="both"/>
        <w:rPr>
          <w:rFonts w:asciiTheme="majorBidi" w:hAnsiTheme="majorBidi" w:cstheme="majorBidi"/>
          <w:sz w:val="20"/>
          <w:szCs w:val="20"/>
        </w:rPr>
      </w:pPr>
      <w:r w:rsidRPr="00DF383F">
        <w:rPr>
          <w:rStyle w:val="FootnoteReference"/>
          <w:rFonts w:asciiTheme="majorBidi" w:hAnsiTheme="majorBidi" w:cstheme="majorBidi"/>
          <w:sz w:val="20"/>
          <w:szCs w:val="20"/>
        </w:rPr>
        <w:footnoteRef/>
      </w:r>
      <w:r w:rsidRPr="00DF383F">
        <w:rPr>
          <w:rFonts w:asciiTheme="majorBidi" w:hAnsiTheme="majorBidi" w:cstheme="majorBidi"/>
          <w:sz w:val="20"/>
          <w:szCs w:val="20"/>
        </w:rPr>
        <w:t xml:space="preserve"> U</w:t>
      </w:r>
      <w:r>
        <w:rPr>
          <w:rFonts w:asciiTheme="majorBidi" w:hAnsiTheme="majorBidi" w:cstheme="majorBidi"/>
          <w:sz w:val="20"/>
          <w:szCs w:val="20"/>
        </w:rPr>
        <w:t>.</w:t>
      </w:r>
      <w:r w:rsidRPr="00DF383F">
        <w:rPr>
          <w:rFonts w:asciiTheme="majorBidi" w:hAnsiTheme="majorBidi" w:cstheme="majorBidi"/>
          <w:sz w:val="20"/>
          <w:szCs w:val="20"/>
        </w:rPr>
        <w:t>N</w:t>
      </w:r>
      <w:r>
        <w:rPr>
          <w:rFonts w:asciiTheme="majorBidi" w:hAnsiTheme="majorBidi" w:cstheme="majorBidi"/>
          <w:sz w:val="20"/>
          <w:szCs w:val="20"/>
        </w:rPr>
        <w:t>.</w:t>
      </w:r>
      <w:r w:rsidRPr="00DF383F">
        <w:rPr>
          <w:rFonts w:asciiTheme="majorBidi" w:hAnsiTheme="majorBidi" w:cstheme="majorBidi"/>
          <w:sz w:val="20"/>
          <w:szCs w:val="20"/>
        </w:rPr>
        <w:t xml:space="preserve"> Charter, art. 24.</w:t>
      </w:r>
    </w:p>
  </w:footnote>
  <w:footnote w:id="38">
    <w:p w14:paraId="0760FA52" w14:textId="23E78862" w:rsidR="00802DBC" w:rsidRPr="00DF383F" w:rsidRDefault="00802DBC" w:rsidP="00252903">
      <w:pPr>
        <w:pStyle w:val="FootnoteText"/>
        <w:ind w:firstLine="144"/>
        <w:jc w:val="both"/>
        <w:rPr>
          <w:rFonts w:asciiTheme="majorBidi" w:hAnsiTheme="majorBidi" w:cstheme="majorBidi"/>
          <w:sz w:val="20"/>
          <w:szCs w:val="20"/>
        </w:rPr>
      </w:pPr>
      <w:r w:rsidRPr="00DF383F">
        <w:rPr>
          <w:rStyle w:val="FootnoteReference"/>
          <w:rFonts w:asciiTheme="majorBidi" w:hAnsiTheme="majorBidi" w:cstheme="majorBidi"/>
          <w:sz w:val="20"/>
          <w:szCs w:val="20"/>
        </w:rPr>
        <w:footnoteRef/>
      </w:r>
      <w:r>
        <w:rPr>
          <w:rFonts w:asciiTheme="majorBidi" w:hAnsiTheme="majorBidi" w:cstheme="majorBidi"/>
          <w:sz w:val="20"/>
          <w:szCs w:val="20"/>
        </w:rPr>
        <w:t xml:space="preserve"> Prosecutor v. </w:t>
      </w:r>
      <w:proofErr w:type="spellStart"/>
      <w:r>
        <w:rPr>
          <w:rFonts w:asciiTheme="majorBidi" w:hAnsiTheme="majorBidi" w:cstheme="majorBidi"/>
          <w:sz w:val="20"/>
          <w:szCs w:val="20"/>
        </w:rPr>
        <w:t>Tadi</w:t>
      </w:r>
      <w:r w:rsidRPr="00252903">
        <w:rPr>
          <w:rFonts w:asciiTheme="majorBidi" w:hAnsiTheme="majorBidi" w:cstheme="majorBidi"/>
          <w:b/>
          <w:bCs/>
          <w:sz w:val="20"/>
          <w:szCs w:val="20"/>
        </w:rPr>
        <w:t>ć</w:t>
      </w:r>
      <w:proofErr w:type="spellEnd"/>
      <w:r>
        <w:rPr>
          <w:rFonts w:asciiTheme="majorBidi" w:hAnsiTheme="majorBidi" w:cstheme="majorBidi"/>
          <w:sz w:val="20"/>
          <w:szCs w:val="20"/>
        </w:rPr>
        <w:t xml:space="preserve">, </w:t>
      </w:r>
      <w:r w:rsidRPr="00DF383F">
        <w:rPr>
          <w:rFonts w:asciiTheme="majorBidi" w:hAnsiTheme="majorBidi" w:cstheme="majorBidi"/>
          <w:sz w:val="20"/>
          <w:szCs w:val="20"/>
        </w:rPr>
        <w:t>Case No. IT-94-</w:t>
      </w:r>
      <w:r>
        <w:rPr>
          <w:rFonts w:asciiTheme="majorBidi" w:hAnsiTheme="majorBidi" w:cstheme="majorBidi"/>
          <w:sz w:val="20"/>
          <w:szCs w:val="20"/>
        </w:rPr>
        <w:t>1-I</w:t>
      </w:r>
      <w:r w:rsidRPr="00DF383F">
        <w:rPr>
          <w:rFonts w:asciiTheme="majorBidi" w:hAnsiTheme="majorBidi" w:cstheme="majorBidi"/>
          <w:sz w:val="20"/>
          <w:szCs w:val="20"/>
        </w:rPr>
        <w:t>, Decision on the Defense Motion for Interlocutory Appeal on Jurisdiction (I</w:t>
      </w:r>
      <w:r>
        <w:rPr>
          <w:rFonts w:asciiTheme="majorBidi" w:hAnsiTheme="majorBidi" w:cstheme="majorBidi"/>
          <w:sz w:val="20"/>
          <w:szCs w:val="20"/>
        </w:rPr>
        <w:t xml:space="preserve">nt’l </w:t>
      </w:r>
      <w:r w:rsidRPr="00DF383F">
        <w:rPr>
          <w:rFonts w:asciiTheme="majorBidi" w:hAnsiTheme="majorBidi" w:cstheme="majorBidi"/>
          <w:sz w:val="20"/>
          <w:szCs w:val="20"/>
        </w:rPr>
        <w:t>C</w:t>
      </w:r>
      <w:r>
        <w:rPr>
          <w:rFonts w:asciiTheme="majorBidi" w:hAnsiTheme="majorBidi" w:cstheme="majorBidi"/>
          <w:sz w:val="20"/>
          <w:szCs w:val="20"/>
        </w:rPr>
        <w:t xml:space="preserve">rim. </w:t>
      </w:r>
      <w:r w:rsidRPr="00DF383F">
        <w:rPr>
          <w:rFonts w:asciiTheme="majorBidi" w:hAnsiTheme="majorBidi" w:cstheme="majorBidi"/>
          <w:sz w:val="20"/>
          <w:szCs w:val="20"/>
        </w:rPr>
        <w:t>T</w:t>
      </w:r>
      <w:r>
        <w:rPr>
          <w:rFonts w:asciiTheme="majorBidi" w:hAnsiTheme="majorBidi" w:cstheme="majorBidi"/>
          <w:sz w:val="20"/>
          <w:szCs w:val="20"/>
        </w:rPr>
        <w:t xml:space="preserve">rib. for the Former </w:t>
      </w:r>
      <w:r w:rsidRPr="00DF383F">
        <w:rPr>
          <w:rFonts w:asciiTheme="majorBidi" w:hAnsiTheme="majorBidi" w:cstheme="majorBidi"/>
          <w:sz w:val="20"/>
          <w:szCs w:val="20"/>
        </w:rPr>
        <w:t>Y</w:t>
      </w:r>
      <w:r>
        <w:rPr>
          <w:rFonts w:asciiTheme="majorBidi" w:hAnsiTheme="majorBidi" w:cstheme="majorBidi"/>
          <w:sz w:val="20"/>
          <w:szCs w:val="20"/>
        </w:rPr>
        <w:t xml:space="preserve">ugoslavia </w:t>
      </w:r>
      <w:r w:rsidRPr="00DF383F">
        <w:rPr>
          <w:rFonts w:asciiTheme="majorBidi" w:hAnsiTheme="majorBidi" w:cstheme="majorBidi"/>
          <w:sz w:val="20"/>
          <w:szCs w:val="20"/>
        </w:rPr>
        <w:t xml:space="preserve">Oct. 2, 1995). </w:t>
      </w:r>
    </w:p>
  </w:footnote>
  <w:footnote w:id="39">
    <w:p w14:paraId="0338FE8D" w14:textId="4E419FB8" w:rsidR="00802DBC" w:rsidRPr="00DF383F" w:rsidRDefault="00802DBC" w:rsidP="00AE548F">
      <w:pPr>
        <w:pStyle w:val="FootnoteText"/>
        <w:ind w:firstLine="144"/>
        <w:jc w:val="both"/>
        <w:rPr>
          <w:rFonts w:asciiTheme="majorBidi" w:hAnsiTheme="majorBidi"/>
          <w:sz w:val="20"/>
          <w:szCs w:val="20"/>
        </w:rPr>
      </w:pPr>
      <w:r w:rsidRPr="00DF383F">
        <w:rPr>
          <w:rStyle w:val="FootnoteReference"/>
          <w:rFonts w:asciiTheme="majorBidi" w:hAnsiTheme="majorBidi" w:cstheme="majorBidi"/>
          <w:sz w:val="20"/>
          <w:szCs w:val="20"/>
        </w:rPr>
        <w:footnoteRef/>
      </w:r>
      <w:r w:rsidRPr="00DF383F">
        <w:rPr>
          <w:rFonts w:asciiTheme="majorBidi" w:hAnsiTheme="majorBidi" w:cstheme="majorBidi"/>
          <w:sz w:val="20"/>
          <w:szCs w:val="20"/>
        </w:rPr>
        <w:t xml:space="preserve"> One of these instances was an explicit authorization, and the other was a tacit authorization by failing to retroactively condemn the action.</w:t>
      </w:r>
      <w:r w:rsidR="007A11A2">
        <w:rPr>
          <w:rFonts w:asciiTheme="majorBidi" w:hAnsiTheme="majorBidi" w:cstheme="majorBidi"/>
          <w:sz w:val="20"/>
          <w:szCs w:val="20"/>
        </w:rPr>
        <w:t xml:space="preserve"> </w:t>
      </w:r>
      <w:r w:rsidRPr="00DF383F">
        <w:rPr>
          <w:rFonts w:asciiTheme="majorBidi" w:hAnsiTheme="majorBidi" w:cstheme="majorBidi"/>
          <w:sz w:val="20"/>
          <w:szCs w:val="20"/>
        </w:rPr>
        <w:t xml:space="preserve"> The explicit authorization was in the case of Libya, and the tacit authorization occurred with respect to intervention in the Former Yugoslavia.</w:t>
      </w:r>
      <w:r w:rsidR="007A11A2">
        <w:rPr>
          <w:rFonts w:asciiTheme="majorBidi" w:hAnsiTheme="majorBidi" w:cstheme="majorBidi"/>
          <w:sz w:val="20"/>
          <w:szCs w:val="20"/>
        </w:rPr>
        <w:t xml:space="preserve"> </w:t>
      </w:r>
      <w:r w:rsidRPr="00DF383F">
        <w:rPr>
          <w:rFonts w:asciiTheme="majorBidi" w:hAnsiTheme="majorBidi" w:cstheme="majorBidi"/>
          <w:sz w:val="20"/>
          <w:szCs w:val="20"/>
        </w:rPr>
        <w:t xml:space="preserve"> </w:t>
      </w:r>
      <w:r>
        <w:rPr>
          <w:rFonts w:asciiTheme="majorBidi" w:hAnsiTheme="majorBidi" w:cstheme="majorBidi"/>
          <w:sz w:val="20"/>
          <w:szCs w:val="20"/>
        </w:rPr>
        <w:t xml:space="preserve">Press Release, Security Council, </w:t>
      </w:r>
      <w:r w:rsidRPr="00445C4C">
        <w:rPr>
          <w:rFonts w:asciiTheme="majorBidi" w:hAnsiTheme="majorBidi"/>
          <w:iCs/>
          <w:sz w:val="20"/>
          <w:szCs w:val="20"/>
        </w:rPr>
        <w:t>Security Council Authorizes ‘All Necessary Measures’ to Protect Civilians in Libya</w:t>
      </w:r>
      <w:r w:rsidRPr="00DF383F">
        <w:rPr>
          <w:rFonts w:asciiTheme="majorBidi" w:hAnsiTheme="majorBidi"/>
          <w:sz w:val="20"/>
          <w:szCs w:val="20"/>
        </w:rPr>
        <w:t xml:space="preserve">, </w:t>
      </w:r>
      <w:r w:rsidRPr="00DF383F">
        <w:rPr>
          <w:rFonts w:asciiTheme="majorBidi" w:hAnsiTheme="majorBidi"/>
          <w:smallCaps/>
          <w:sz w:val="20"/>
          <w:szCs w:val="20"/>
        </w:rPr>
        <w:t>U</w:t>
      </w:r>
      <w:r>
        <w:rPr>
          <w:rFonts w:asciiTheme="majorBidi" w:hAnsiTheme="majorBidi"/>
          <w:smallCaps/>
          <w:sz w:val="20"/>
          <w:szCs w:val="20"/>
        </w:rPr>
        <w:t>.</w:t>
      </w:r>
      <w:r w:rsidRPr="00DF383F">
        <w:rPr>
          <w:rFonts w:asciiTheme="majorBidi" w:hAnsiTheme="majorBidi"/>
          <w:smallCaps/>
          <w:sz w:val="20"/>
          <w:szCs w:val="20"/>
        </w:rPr>
        <w:t>N</w:t>
      </w:r>
      <w:r>
        <w:rPr>
          <w:rFonts w:asciiTheme="majorBidi" w:hAnsiTheme="majorBidi"/>
          <w:smallCaps/>
          <w:sz w:val="20"/>
          <w:szCs w:val="20"/>
        </w:rPr>
        <w:t>.</w:t>
      </w:r>
      <w:r w:rsidRPr="00DF383F">
        <w:rPr>
          <w:rFonts w:asciiTheme="majorBidi" w:hAnsiTheme="majorBidi"/>
          <w:smallCaps/>
          <w:sz w:val="20"/>
          <w:szCs w:val="20"/>
        </w:rPr>
        <w:t xml:space="preserve"> News Ctr</w:t>
      </w:r>
      <w:r>
        <w:rPr>
          <w:rFonts w:asciiTheme="majorBidi" w:hAnsiTheme="majorBidi"/>
          <w:smallCaps/>
          <w:sz w:val="20"/>
          <w:szCs w:val="20"/>
        </w:rPr>
        <w:t>.</w:t>
      </w:r>
      <w:r w:rsidRPr="00DF383F">
        <w:rPr>
          <w:rFonts w:asciiTheme="majorBidi" w:hAnsiTheme="majorBidi"/>
          <w:sz w:val="20"/>
          <w:szCs w:val="20"/>
        </w:rPr>
        <w:t xml:space="preserve"> (Mar. 17, 2011), http://www.un.org/apps/news/story.asp?NewsID=37808#.WMUZBBIrL-Y; </w:t>
      </w:r>
      <w:r w:rsidR="00AE548F">
        <w:rPr>
          <w:rFonts w:asciiTheme="majorBidi" w:hAnsiTheme="majorBidi"/>
          <w:sz w:val="20"/>
          <w:szCs w:val="20"/>
        </w:rPr>
        <w:t>Press Release, Security Council, Security Council Rejects Demand for Cessation of Use of Force Against Federal Republic of Yugoslavia, U.N</w:t>
      </w:r>
      <w:r w:rsidRPr="00DF383F">
        <w:rPr>
          <w:rFonts w:asciiTheme="majorBidi" w:hAnsiTheme="majorBidi"/>
          <w:sz w:val="20"/>
          <w:szCs w:val="20"/>
        </w:rPr>
        <w:t>.</w:t>
      </w:r>
      <w:r w:rsidR="00AE548F">
        <w:rPr>
          <w:rFonts w:asciiTheme="majorBidi" w:hAnsiTheme="majorBidi"/>
          <w:sz w:val="20"/>
          <w:szCs w:val="20"/>
        </w:rPr>
        <w:t xml:space="preserve"> Press Release SC/6659</w:t>
      </w:r>
    </w:p>
  </w:footnote>
  <w:footnote w:id="40">
    <w:p w14:paraId="7BFAE61E" w14:textId="722FEDA2" w:rsidR="00802DBC" w:rsidRPr="00DF383F" w:rsidRDefault="00802DBC" w:rsidP="00A0019F">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6E3C51">
        <w:rPr>
          <w:rFonts w:ascii="Times New Roman (Theme Headings" w:hAnsi="Times New Roman (Theme Headings" w:cstheme="majorBidi"/>
          <w:sz w:val="20"/>
          <w:szCs w:val="20"/>
        </w:rPr>
        <w:t>U. N. Security Council</w:t>
      </w:r>
      <w:r w:rsidRPr="00EF740A">
        <w:rPr>
          <w:rFonts w:asciiTheme="majorBidi" w:hAnsiTheme="majorBidi" w:cstheme="majorBidi"/>
          <w:smallCaps/>
          <w:sz w:val="20"/>
          <w:szCs w:val="20"/>
        </w:rPr>
        <w:t>,</w:t>
      </w:r>
      <w:r>
        <w:rPr>
          <w:rFonts w:asciiTheme="majorBidi" w:hAnsiTheme="majorBidi" w:cstheme="majorBidi"/>
          <w:smallCaps/>
          <w:sz w:val="20"/>
          <w:szCs w:val="20"/>
        </w:rPr>
        <w:t xml:space="preserve"> </w:t>
      </w:r>
      <w:r w:rsidRPr="00EF740A">
        <w:rPr>
          <w:rFonts w:asciiTheme="majorBidi" w:hAnsiTheme="majorBidi" w:cstheme="majorBidi"/>
          <w:i/>
          <w:iCs/>
          <w:sz w:val="20"/>
          <w:szCs w:val="20"/>
        </w:rPr>
        <w:t>Current Members</w:t>
      </w:r>
      <w:r w:rsidRPr="00EF740A">
        <w:rPr>
          <w:rFonts w:asciiTheme="majorBidi" w:hAnsiTheme="majorBidi" w:cstheme="majorBidi"/>
          <w:sz w:val="20"/>
          <w:szCs w:val="20"/>
        </w:rPr>
        <w:t xml:space="preserve">, </w:t>
      </w:r>
      <w:r w:rsidRPr="006E3C51">
        <w:rPr>
          <w:rFonts w:ascii="Times New Roman (Theme Headings" w:hAnsi="Times New Roman (Theme Headings" w:cstheme="majorBidi"/>
          <w:smallCaps/>
          <w:sz w:val="20"/>
          <w:szCs w:val="20"/>
        </w:rPr>
        <w:t>U</w:t>
      </w:r>
      <w:r>
        <w:rPr>
          <w:rFonts w:ascii="Times New Roman (Theme Headings" w:hAnsi="Times New Roman (Theme Headings" w:cstheme="majorBidi"/>
          <w:smallCaps/>
          <w:sz w:val="20"/>
          <w:szCs w:val="20"/>
        </w:rPr>
        <w:t>.N.</w:t>
      </w:r>
      <w:r>
        <w:rPr>
          <w:rFonts w:asciiTheme="majorBidi" w:hAnsiTheme="majorBidi" w:cstheme="majorBidi"/>
          <w:sz w:val="20"/>
          <w:szCs w:val="20"/>
        </w:rPr>
        <w:t xml:space="preserve">, </w:t>
      </w:r>
      <w:r w:rsidRPr="00CA2399">
        <w:rPr>
          <w:rFonts w:asciiTheme="majorBidi" w:hAnsiTheme="majorBidi" w:cstheme="majorBidi"/>
          <w:sz w:val="20"/>
          <w:szCs w:val="20"/>
        </w:rPr>
        <w:t>http://www.un.org/en/sc/members/</w:t>
      </w:r>
      <w:r w:rsidRPr="00DF383F">
        <w:rPr>
          <w:rFonts w:asciiTheme="majorBidi" w:hAnsiTheme="majorBidi" w:cstheme="majorBidi"/>
          <w:sz w:val="20"/>
          <w:szCs w:val="20"/>
        </w:rPr>
        <w:t xml:space="preserve"> (</w:t>
      </w:r>
      <w:r>
        <w:rPr>
          <w:rFonts w:asciiTheme="majorBidi" w:hAnsiTheme="majorBidi" w:cstheme="majorBidi"/>
          <w:sz w:val="20"/>
          <w:szCs w:val="20"/>
        </w:rPr>
        <w:t>Oct. 25, 2016)</w:t>
      </w:r>
      <w:r w:rsidR="00393633">
        <w:rPr>
          <w:rFonts w:asciiTheme="majorBidi" w:hAnsiTheme="majorBidi" w:cstheme="majorBidi"/>
          <w:sz w:val="20"/>
          <w:szCs w:val="20"/>
        </w:rPr>
        <w:t>.</w:t>
      </w:r>
    </w:p>
  </w:footnote>
  <w:footnote w:id="41">
    <w:p w14:paraId="72A1A768" w14:textId="24E4C03F" w:rsidR="00802DBC" w:rsidRPr="00EF740A" w:rsidRDefault="00802DBC" w:rsidP="00445C4C">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EF740A">
        <w:rPr>
          <w:rFonts w:asciiTheme="majorBidi" w:hAnsiTheme="majorBidi" w:cstheme="majorBidi"/>
          <w:i/>
          <w:iCs/>
          <w:sz w:val="20"/>
          <w:szCs w:val="20"/>
        </w:rPr>
        <w:t>Id</w:t>
      </w:r>
      <w:r w:rsidRPr="00EC71C8">
        <w:rPr>
          <w:rFonts w:asciiTheme="majorBidi" w:hAnsiTheme="majorBidi" w:cstheme="majorBidi"/>
          <w:sz w:val="20"/>
          <w:szCs w:val="20"/>
        </w:rPr>
        <w:t>.</w:t>
      </w:r>
    </w:p>
  </w:footnote>
  <w:footnote w:id="42">
    <w:p w14:paraId="64CC3F25" w14:textId="0679FEEC" w:rsidR="00802DBC" w:rsidRPr="00EF740A" w:rsidRDefault="00802DBC" w:rsidP="00445C4C">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EF740A">
        <w:rPr>
          <w:rFonts w:asciiTheme="majorBidi" w:hAnsiTheme="majorBidi" w:cstheme="majorBidi"/>
          <w:i/>
          <w:iCs/>
          <w:sz w:val="20"/>
          <w:szCs w:val="20"/>
        </w:rPr>
        <w:t>Id</w:t>
      </w:r>
      <w:r w:rsidRPr="00EF740A">
        <w:rPr>
          <w:rFonts w:asciiTheme="majorBidi" w:hAnsiTheme="majorBidi" w:cstheme="majorBidi"/>
          <w:sz w:val="20"/>
          <w:szCs w:val="20"/>
        </w:rPr>
        <w:t xml:space="preserve">. </w:t>
      </w:r>
    </w:p>
  </w:footnote>
  <w:footnote w:id="43">
    <w:p w14:paraId="29A64523" w14:textId="0A658076" w:rsidR="00802DBC" w:rsidRPr="007B2ECC" w:rsidRDefault="00802DBC" w:rsidP="00445C4C">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7B2ECC">
        <w:rPr>
          <w:rFonts w:asciiTheme="majorBidi" w:hAnsiTheme="majorBidi" w:cstheme="majorBidi"/>
          <w:sz w:val="20"/>
          <w:szCs w:val="20"/>
        </w:rPr>
        <w:t>U</w:t>
      </w:r>
      <w:r>
        <w:rPr>
          <w:rFonts w:asciiTheme="majorBidi" w:hAnsiTheme="majorBidi" w:cstheme="majorBidi"/>
          <w:sz w:val="20"/>
          <w:szCs w:val="20"/>
        </w:rPr>
        <w:t>.</w:t>
      </w:r>
      <w:r w:rsidRPr="007B2ECC">
        <w:rPr>
          <w:rFonts w:asciiTheme="majorBidi" w:hAnsiTheme="majorBidi" w:cstheme="majorBidi"/>
          <w:sz w:val="20"/>
          <w:szCs w:val="20"/>
        </w:rPr>
        <w:t>N</w:t>
      </w:r>
      <w:r>
        <w:rPr>
          <w:rFonts w:asciiTheme="majorBidi" w:hAnsiTheme="majorBidi" w:cstheme="majorBidi"/>
          <w:sz w:val="20"/>
          <w:szCs w:val="20"/>
        </w:rPr>
        <w:t>.</w:t>
      </w:r>
      <w:r w:rsidRPr="007B2ECC">
        <w:rPr>
          <w:rFonts w:asciiTheme="majorBidi" w:hAnsiTheme="majorBidi" w:cstheme="majorBidi"/>
          <w:sz w:val="20"/>
          <w:szCs w:val="20"/>
        </w:rPr>
        <w:t xml:space="preserve"> Charter, art. 27.</w:t>
      </w:r>
    </w:p>
  </w:footnote>
  <w:footnote w:id="44">
    <w:p w14:paraId="17B2172B" w14:textId="04548B2D" w:rsidR="00802DBC" w:rsidRPr="00EF740A" w:rsidRDefault="00802DBC" w:rsidP="00445C4C">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EF740A">
        <w:rPr>
          <w:rFonts w:asciiTheme="majorBidi" w:hAnsiTheme="majorBidi" w:cstheme="majorBidi"/>
          <w:i/>
          <w:iCs/>
          <w:sz w:val="20"/>
          <w:szCs w:val="20"/>
        </w:rPr>
        <w:t>Id</w:t>
      </w:r>
      <w:r w:rsidRPr="00EF740A">
        <w:rPr>
          <w:rFonts w:asciiTheme="majorBidi" w:hAnsiTheme="majorBidi" w:cstheme="majorBidi"/>
          <w:sz w:val="20"/>
          <w:szCs w:val="20"/>
        </w:rPr>
        <w:t xml:space="preserve">. </w:t>
      </w:r>
    </w:p>
  </w:footnote>
  <w:footnote w:id="45">
    <w:p w14:paraId="0511C623" w14:textId="0484B567" w:rsidR="00802DBC" w:rsidRPr="00EF740A" w:rsidRDefault="00802DBC" w:rsidP="00445C4C">
      <w:pPr>
        <w:pStyle w:val="FootnoteText"/>
        <w:ind w:firstLine="144"/>
        <w:jc w:val="both"/>
        <w:rPr>
          <w:rFonts w:asciiTheme="majorBidi" w:hAnsiTheme="majorBidi"/>
          <w:b/>
          <w:bCs/>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Patrick Goodenough, </w:t>
      </w:r>
      <w:r w:rsidRPr="007B2ECC">
        <w:rPr>
          <w:rFonts w:asciiTheme="majorBidi" w:hAnsiTheme="majorBidi"/>
          <w:i/>
          <w:iCs/>
          <w:sz w:val="20"/>
          <w:szCs w:val="20"/>
        </w:rPr>
        <w:t>Security Council Must Stop Using Veto in Cases of Genocide</w:t>
      </w:r>
      <w:r w:rsidRPr="007B2ECC">
        <w:rPr>
          <w:rFonts w:asciiTheme="majorBidi" w:hAnsiTheme="majorBidi"/>
          <w:sz w:val="20"/>
          <w:szCs w:val="20"/>
        </w:rPr>
        <w:t xml:space="preserve">, </w:t>
      </w:r>
      <w:r w:rsidRPr="007B2ECC">
        <w:rPr>
          <w:rFonts w:asciiTheme="majorBidi" w:hAnsiTheme="majorBidi"/>
          <w:i/>
          <w:iCs/>
          <w:sz w:val="20"/>
          <w:szCs w:val="20"/>
        </w:rPr>
        <w:t>Group Says</w:t>
      </w:r>
      <w:r w:rsidRPr="007B2ECC">
        <w:rPr>
          <w:rFonts w:asciiTheme="majorBidi" w:hAnsiTheme="majorBidi"/>
          <w:sz w:val="20"/>
          <w:szCs w:val="20"/>
        </w:rPr>
        <w:t xml:space="preserve">, </w:t>
      </w:r>
      <w:r w:rsidRPr="007B2ECC">
        <w:rPr>
          <w:rFonts w:asciiTheme="majorBidi" w:hAnsiTheme="majorBidi"/>
          <w:smallCaps/>
          <w:sz w:val="20"/>
          <w:szCs w:val="20"/>
        </w:rPr>
        <w:t>Glob</w:t>
      </w:r>
      <w:r>
        <w:rPr>
          <w:rFonts w:asciiTheme="majorBidi" w:hAnsiTheme="majorBidi"/>
          <w:smallCaps/>
          <w:sz w:val="20"/>
          <w:szCs w:val="20"/>
        </w:rPr>
        <w:t>.</w:t>
      </w:r>
      <w:r w:rsidRPr="007B2ECC">
        <w:rPr>
          <w:rFonts w:asciiTheme="majorBidi" w:hAnsiTheme="majorBidi"/>
          <w:smallCaps/>
          <w:sz w:val="20"/>
          <w:szCs w:val="20"/>
        </w:rPr>
        <w:t xml:space="preserve"> Policy Forum</w:t>
      </w:r>
      <w:r w:rsidR="00393633">
        <w:rPr>
          <w:rFonts w:asciiTheme="majorBidi" w:hAnsiTheme="majorBidi"/>
          <w:sz w:val="20"/>
          <w:szCs w:val="20"/>
        </w:rPr>
        <w:t xml:space="preserve"> </w:t>
      </w:r>
      <w:r w:rsidRPr="007B2ECC">
        <w:rPr>
          <w:rFonts w:asciiTheme="majorBidi" w:hAnsiTheme="majorBidi"/>
          <w:sz w:val="20"/>
          <w:szCs w:val="20"/>
        </w:rPr>
        <w:t xml:space="preserve">(Dec. 10, 2008), https://www.globalpolicy.org/component/content/article/196/42660.html. </w:t>
      </w:r>
    </w:p>
  </w:footnote>
  <w:footnote w:id="46">
    <w:p w14:paraId="14873D04" w14:textId="514ED16D" w:rsidR="00802DBC" w:rsidRPr="007B2ECC" w:rsidRDefault="00802DBC" w:rsidP="00445C4C">
      <w:pPr>
        <w:pStyle w:val="FootnoteText"/>
        <w:ind w:firstLine="144"/>
        <w:jc w:val="both"/>
        <w:rPr>
          <w:rFonts w:asciiTheme="majorBidi" w:hAnsi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Julian Borger </w:t>
      </w:r>
      <w:r>
        <w:rPr>
          <w:rFonts w:asciiTheme="majorBidi" w:hAnsiTheme="majorBidi" w:cstheme="majorBidi"/>
          <w:sz w:val="20"/>
          <w:szCs w:val="20"/>
        </w:rPr>
        <w:t>&amp;</w:t>
      </w:r>
      <w:r w:rsidRPr="00EF740A">
        <w:rPr>
          <w:rFonts w:asciiTheme="majorBidi" w:hAnsiTheme="majorBidi" w:cstheme="majorBidi"/>
          <w:sz w:val="20"/>
          <w:szCs w:val="20"/>
        </w:rPr>
        <w:t xml:space="preserve"> </w:t>
      </w:r>
      <w:proofErr w:type="spellStart"/>
      <w:r w:rsidRPr="00EF740A">
        <w:rPr>
          <w:rFonts w:asciiTheme="majorBidi" w:hAnsiTheme="majorBidi" w:cstheme="majorBidi"/>
          <w:sz w:val="20"/>
          <w:szCs w:val="20"/>
        </w:rPr>
        <w:t>Bastien</w:t>
      </w:r>
      <w:proofErr w:type="spellEnd"/>
      <w:r w:rsidRPr="00EF740A">
        <w:rPr>
          <w:rFonts w:asciiTheme="majorBidi" w:hAnsiTheme="majorBidi" w:cstheme="majorBidi"/>
          <w:sz w:val="20"/>
          <w:szCs w:val="20"/>
        </w:rPr>
        <w:t xml:space="preserve"> </w:t>
      </w:r>
      <w:proofErr w:type="spellStart"/>
      <w:r w:rsidRPr="007B2ECC">
        <w:rPr>
          <w:rFonts w:asciiTheme="majorBidi" w:hAnsiTheme="majorBidi" w:cstheme="majorBidi"/>
          <w:sz w:val="20"/>
          <w:szCs w:val="20"/>
        </w:rPr>
        <w:t>Inzaurralde</w:t>
      </w:r>
      <w:proofErr w:type="spellEnd"/>
      <w:r w:rsidRPr="007B2ECC">
        <w:rPr>
          <w:rFonts w:asciiTheme="majorBidi" w:hAnsiTheme="majorBidi" w:cstheme="majorBidi"/>
          <w:sz w:val="20"/>
          <w:szCs w:val="20"/>
        </w:rPr>
        <w:t xml:space="preserve">, </w:t>
      </w:r>
      <w:r w:rsidRPr="007B2ECC">
        <w:rPr>
          <w:rFonts w:asciiTheme="majorBidi" w:hAnsiTheme="majorBidi"/>
          <w:i/>
          <w:iCs/>
          <w:sz w:val="20"/>
          <w:szCs w:val="20"/>
        </w:rPr>
        <w:t xml:space="preserve">Russian Vetoes Are Putting </w:t>
      </w:r>
      <w:r>
        <w:rPr>
          <w:rFonts w:asciiTheme="majorBidi" w:hAnsiTheme="majorBidi"/>
          <w:i/>
          <w:iCs/>
          <w:sz w:val="20"/>
          <w:szCs w:val="20"/>
        </w:rPr>
        <w:t>U.N.</w:t>
      </w:r>
      <w:r w:rsidRPr="007B2ECC">
        <w:rPr>
          <w:rFonts w:asciiTheme="majorBidi" w:hAnsiTheme="majorBidi"/>
          <w:i/>
          <w:iCs/>
          <w:sz w:val="20"/>
          <w:szCs w:val="20"/>
        </w:rPr>
        <w:t xml:space="preserve"> Security Council's Legitimacy at Risk,</w:t>
      </w:r>
      <w:r w:rsidRPr="007B2ECC">
        <w:rPr>
          <w:rFonts w:asciiTheme="majorBidi" w:hAnsiTheme="majorBidi"/>
          <w:sz w:val="20"/>
          <w:szCs w:val="20"/>
        </w:rPr>
        <w:t xml:space="preserve"> </w:t>
      </w:r>
      <w:r w:rsidRPr="007B2ECC">
        <w:rPr>
          <w:rFonts w:asciiTheme="majorBidi" w:hAnsiTheme="majorBidi"/>
          <w:i/>
          <w:iCs/>
          <w:sz w:val="20"/>
          <w:szCs w:val="20"/>
        </w:rPr>
        <w:t>Says US</w:t>
      </w:r>
      <w:r w:rsidRPr="007B2ECC">
        <w:rPr>
          <w:rFonts w:asciiTheme="majorBidi" w:hAnsiTheme="majorBidi"/>
          <w:sz w:val="20"/>
          <w:szCs w:val="20"/>
        </w:rPr>
        <w:t xml:space="preserve">, </w:t>
      </w:r>
      <w:r w:rsidRPr="007B2ECC">
        <w:rPr>
          <w:rFonts w:asciiTheme="majorBidi" w:hAnsiTheme="majorBidi"/>
          <w:smallCaps/>
          <w:sz w:val="20"/>
          <w:szCs w:val="20"/>
        </w:rPr>
        <w:t>Guardian</w:t>
      </w:r>
      <w:r w:rsidRPr="007B2ECC">
        <w:rPr>
          <w:rFonts w:asciiTheme="majorBidi" w:hAnsiTheme="majorBidi"/>
          <w:sz w:val="20"/>
          <w:szCs w:val="20"/>
        </w:rPr>
        <w:t>, (Sep</w:t>
      </w:r>
      <w:r w:rsidR="00937E6A">
        <w:rPr>
          <w:rFonts w:asciiTheme="majorBidi" w:hAnsiTheme="majorBidi"/>
          <w:sz w:val="20"/>
          <w:szCs w:val="20"/>
        </w:rPr>
        <w:t>t</w:t>
      </w:r>
      <w:r w:rsidRPr="007B2ECC">
        <w:rPr>
          <w:rFonts w:asciiTheme="majorBidi" w:hAnsiTheme="majorBidi"/>
          <w:sz w:val="20"/>
          <w:szCs w:val="20"/>
        </w:rPr>
        <w:t xml:space="preserve">. 23, 2015) https://www.theguardian.com/world/2015/sep/23/russian-vetoes-putting-un-security-council-legitimacy-at-risk-says-us. </w:t>
      </w:r>
    </w:p>
  </w:footnote>
  <w:footnote w:id="47">
    <w:p w14:paraId="685A878B" w14:textId="07A62F47" w:rsidR="00802DBC" w:rsidRPr="00CA2399" w:rsidRDefault="00802DBC" w:rsidP="000C04E4">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Pr>
          <w:rFonts w:ascii="Times New Roman" w:hAnsi="Times New Roman" w:cs="Times New Roman"/>
          <w:sz w:val="20"/>
          <w:szCs w:val="20"/>
        </w:rPr>
        <w:t xml:space="preserve">Genocide </w:t>
      </w:r>
      <w:r w:rsidRPr="00EF740A">
        <w:rPr>
          <w:rFonts w:ascii="Times New Roman" w:hAnsi="Times New Roman" w:cs="Times New Roman"/>
          <w:bCs/>
          <w:sz w:val="20"/>
          <w:szCs w:val="20"/>
        </w:rPr>
        <w:t xml:space="preserve">Convention, </w:t>
      </w:r>
      <w:r w:rsidRPr="00EF740A">
        <w:rPr>
          <w:rFonts w:ascii="Times New Roman" w:hAnsi="Times New Roman" w:cs="Times New Roman"/>
          <w:bCs/>
          <w:i/>
          <w:iCs/>
          <w:sz w:val="20"/>
          <w:szCs w:val="20"/>
        </w:rPr>
        <w:t>supra</w:t>
      </w:r>
      <w:r w:rsidRPr="00EF740A">
        <w:rPr>
          <w:rFonts w:ascii="Times New Roman" w:hAnsi="Times New Roman" w:cs="Times New Roman"/>
          <w:bCs/>
          <w:sz w:val="20"/>
          <w:szCs w:val="20"/>
        </w:rPr>
        <w:t xml:space="preserve"> note 4. </w:t>
      </w:r>
    </w:p>
  </w:footnote>
  <w:footnote w:id="48">
    <w:p w14:paraId="09D135FB" w14:textId="6ACEEA40" w:rsidR="00802DBC" w:rsidRPr="007B2ECC" w:rsidRDefault="00802DBC" w:rsidP="00F63107">
      <w:pPr>
        <w:pStyle w:val="FootnoteText"/>
        <w:ind w:firstLine="144"/>
        <w:jc w:val="both"/>
        <w:rPr>
          <w:rFonts w:ascii="Times New Roman" w:hAnsi="Times New Roman" w:cs="Times New Roman"/>
          <w:smallCaps/>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7B2ECC">
        <w:rPr>
          <w:rFonts w:ascii="Times New Roman" w:hAnsi="Times New Roman" w:cs="Times New Roman"/>
          <w:smallCaps/>
          <w:sz w:val="20"/>
          <w:szCs w:val="20"/>
        </w:rPr>
        <w:t>Samantha Power, A Problem from Hell: Ame</w:t>
      </w:r>
      <w:r w:rsidR="008F55A4">
        <w:rPr>
          <w:rFonts w:ascii="Times New Roman" w:hAnsi="Times New Roman" w:cs="Times New Roman"/>
          <w:smallCaps/>
          <w:sz w:val="20"/>
          <w:szCs w:val="20"/>
        </w:rPr>
        <w:t>rica and the Age of Genocide 17–</w:t>
      </w:r>
      <w:r w:rsidRPr="007B2ECC">
        <w:rPr>
          <w:rFonts w:ascii="Times New Roman" w:hAnsi="Times New Roman" w:cs="Times New Roman"/>
          <w:smallCaps/>
          <w:sz w:val="20"/>
          <w:szCs w:val="20"/>
        </w:rPr>
        <w:t>60 (2002).</w:t>
      </w:r>
    </w:p>
  </w:footnote>
  <w:footnote w:id="49">
    <w:p w14:paraId="322F98FE" w14:textId="0D27F781" w:rsidR="00802DBC" w:rsidRPr="00CA2399" w:rsidRDefault="00802DBC" w:rsidP="006E3C51">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Pr>
          <w:rFonts w:ascii="Times New Roman" w:hAnsi="Times New Roman" w:cs="Times New Roman"/>
          <w:sz w:val="20"/>
          <w:szCs w:val="20"/>
        </w:rPr>
        <w:t xml:space="preserve">Genocide </w:t>
      </w:r>
      <w:r w:rsidRPr="00EF740A">
        <w:rPr>
          <w:rFonts w:ascii="Times New Roman" w:hAnsi="Times New Roman" w:cs="Times New Roman"/>
          <w:bCs/>
          <w:sz w:val="20"/>
          <w:szCs w:val="20"/>
        </w:rPr>
        <w:t xml:space="preserve">Convention, </w:t>
      </w:r>
      <w:r w:rsidRPr="00EF740A">
        <w:rPr>
          <w:rFonts w:ascii="Times New Roman" w:hAnsi="Times New Roman" w:cs="Times New Roman"/>
          <w:bCs/>
          <w:i/>
          <w:iCs/>
          <w:sz w:val="20"/>
          <w:szCs w:val="20"/>
        </w:rPr>
        <w:t>supra</w:t>
      </w:r>
      <w:r w:rsidRPr="00EF740A">
        <w:rPr>
          <w:rFonts w:ascii="Times New Roman" w:hAnsi="Times New Roman" w:cs="Times New Roman"/>
          <w:bCs/>
          <w:sz w:val="20"/>
          <w:szCs w:val="20"/>
        </w:rPr>
        <w:t xml:space="preserve"> note 4</w:t>
      </w:r>
      <w:r>
        <w:rPr>
          <w:rFonts w:ascii="Times New Roman" w:hAnsi="Times New Roman" w:cs="Times New Roman"/>
          <w:bCs/>
          <w:sz w:val="20"/>
          <w:szCs w:val="20"/>
        </w:rPr>
        <w:t>, at art.</w:t>
      </w:r>
      <w:r w:rsidR="00937E6A">
        <w:rPr>
          <w:rFonts w:ascii="Times New Roman" w:hAnsi="Times New Roman" w:cs="Times New Roman"/>
          <w:bCs/>
          <w:sz w:val="20"/>
          <w:szCs w:val="20"/>
        </w:rPr>
        <w:t xml:space="preserve"> </w:t>
      </w:r>
      <w:r>
        <w:rPr>
          <w:rFonts w:ascii="Times New Roman" w:hAnsi="Times New Roman" w:cs="Times New Roman"/>
          <w:bCs/>
          <w:sz w:val="20"/>
          <w:szCs w:val="20"/>
        </w:rPr>
        <w:t>2</w:t>
      </w:r>
      <w:r w:rsidRPr="00EF740A">
        <w:rPr>
          <w:rFonts w:ascii="Times New Roman" w:hAnsi="Times New Roman" w:cs="Times New Roman"/>
          <w:bCs/>
          <w:sz w:val="20"/>
          <w:szCs w:val="20"/>
        </w:rPr>
        <w:t>.</w:t>
      </w:r>
    </w:p>
  </w:footnote>
  <w:footnote w:id="50">
    <w:p w14:paraId="18A68518" w14:textId="5E5688D8" w:rsidR="00802DBC" w:rsidRPr="007B2ECC" w:rsidRDefault="00802DBC" w:rsidP="000C04E4">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7B2ECC">
        <w:rPr>
          <w:rFonts w:ascii="Times New Roman" w:hAnsi="Times New Roman" w:cs="Times New Roman"/>
          <w:i/>
          <w:sz w:val="20"/>
          <w:szCs w:val="20"/>
        </w:rPr>
        <w:t>Id</w:t>
      </w:r>
      <w:r w:rsidRPr="000073F1">
        <w:rPr>
          <w:rFonts w:ascii="Times New Roman" w:hAnsi="Times New Roman" w:cs="Times New Roman"/>
          <w:sz w:val="20"/>
          <w:szCs w:val="20"/>
        </w:rPr>
        <w:t>.</w:t>
      </w:r>
    </w:p>
  </w:footnote>
  <w:footnote w:id="51">
    <w:p w14:paraId="75021F8B" w14:textId="23596C65" w:rsidR="00802DBC" w:rsidRPr="007B2ECC" w:rsidRDefault="00802DBC" w:rsidP="00F63107">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Matthew </w:t>
      </w:r>
      <w:proofErr w:type="spellStart"/>
      <w:r w:rsidRPr="00EF740A">
        <w:rPr>
          <w:rFonts w:ascii="Times New Roman" w:hAnsi="Times New Roman" w:cs="Times New Roman"/>
          <w:sz w:val="20"/>
          <w:szCs w:val="20"/>
        </w:rPr>
        <w:t>Lippman</w:t>
      </w:r>
      <w:proofErr w:type="spellEnd"/>
      <w:r w:rsidRPr="00EF740A">
        <w:rPr>
          <w:rFonts w:ascii="Times New Roman" w:hAnsi="Times New Roman" w:cs="Times New Roman"/>
          <w:sz w:val="20"/>
          <w:szCs w:val="20"/>
        </w:rPr>
        <w:t xml:space="preserve">, </w:t>
      </w:r>
      <w:r w:rsidRPr="00EF740A">
        <w:rPr>
          <w:rFonts w:ascii="Times New Roman" w:hAnsi="Times New Roman" w:cs="Times New Roman"/>
          <w:i/>
          <w:iCs/>
          <w:sz w:val="20"/>
          <w:szCs w:val="20"/>
        </w:rPr>
        <w:t>The Convention on the Prevention and Punishment of the Crime of Genocide: Fifty Years Later</w:t>
      </w:r>
      <w:r w:rsidRPr="00EF740A">
        <w:rPr>
          <w:rFonts w:ascii="Times New Roman" w:hAnsi="Times New Roman" w:cs="Times New Roman"/>
          <w:sz w:val="20"/>
          <w:szCs w:val="20"/>
        </w:rPr>
        <w:t>,</w:t>
      </w:r>
      <w:r w:rsidRPr="00CA2399">
        <w:rPr>
          <w:rFonts w:ascii="Times New Roman" w:hAnsi="Times New Roman" w:cs="Times New Roman"/>
          <w:i/>
          <w:iCs/>
          <w:sz w:val="20"/>
          <w:szCs w:val="20"/>
        </w:rPr>
        <w:t xml:space="preserve"> </w:t>
      </w:r>
      <w:r w:rsidRPr="007B2ECC">
        <w:rPr>
          <w:rFonts w:ascii="Times New Roman" w:hAnsi="Times New Roman" w:cs="Times New Roman"/>
          <w:sz w:val="20"/>
          <w:szCs w:val="20"/>
        </w:rPr>
        <w:t xml:space="preserve">15 </w:t>
      </w:r>
      <w:r w:rsidRPr="007B2ECC">
        <w:rPr>
          <w:rFonts w:ascii="Times New Roman" w:hAnsi="Times New Roman" w:cs="Times New Roman"/>
          <w:smallCaps/>
          <w:sz w:val="20"/>
          <w:szCs w:val="20"/>
        </w:rPr>
        <w:t>Ariz. J. Int'l &amp; Comp. L.</w:t>
      </w:r>
      <w:r w:rsidRPr="007B2ECC">
        <w:rPr>
          <w:rFonts w:ascii="Times New Roman" w:hAnsi="Times New Roman" w:cs="Times New Roman"/>
          <w:sz w:val="20"/>
          <w:szCs w:val="20"/>
        </w:rPr>
        <w:t xml:space="preserve"> 415, 505 (1998). </w:t>
      </w:r>
    </w:p>
  </w:footnote>
  <w:footnote w:id="52">
    <w:p w14:paraId="404E79D2" w14:textId="05DBD895" w:rsidR="00802DBC" w:rsidRPr="007B2ECC" w:rsidRDefault="00802DBC" w:rsidP="007E473A">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Pr>
          <w:rFonts w:ascii="Times New Roman" w:hAnsi="Times New Roman" w:cs="Times New Roman"/>
          <w:sz w:val="20"/>
          <w:szCs w:val="20"/>
        </w:rPr>
        <w:t xml:space="preserve">Genocide Convention, </w:t>
      </w:r>
      <w:r w:rsidRPr="00271A6E">
        <w:rPr>
          <w:rFonts w:ascii="Times New Roman" w:hAnsi="Times New Roman" w:cs="Times New Roman"/>
          <w:sz w:val="20"/>
          <w:szCs w:val="20"/>
        </w:rPr>
        <w:t>supra</w:t>
      </w:r>
      <w:r>
        <w:rPr>
          <w:rFonts w:ascii="Times New Roman" w:hAnsi="Times New Roman" w:cs="Times New Roman"/>
          <w:sz w:val="20"/>
          <w:szCs w:val="20"/>
        </w:rPr>
        <w:t xml:space="preserve"> note 4, at art. 9. </w:t>
      </w:r>
      <w:r w:rsidRPr="00271A6E">
        <w:rPr>
          <w:rFonts w:ascii="Times New Roman" w:hAnsi="Times New Roman" w:cs="Times New Roman"/>
          <w:sz w:val="20"/>
          <w:szCs w:val="20"/>
        </w:rPr>
        <w:t>The</w:t>
      </w:r>
      <w:r w:rsidRPr="007B2ECC">
        <w:rPr>
          <w:rFonts w:ascii="Times New Roman" w:hAnsi="Times New Roman" w:cs="Times New Roman"/>
          <w:sz w:val="20"/>
          <w:szCs w:val="20"/>
        </w:rPr>
        <w:t xml:space="preserve"> International Court of Justice, or ICJ, is the</w:t>
      </w:r>
      <w:r>
        <w:rPr>
          <w:rFonts w:ascii="Times New Roman" w:hAnsi="Times New Roman" w:cs="Times New Roman"/>
          <w:sz w:val="20"/>
          <w:szCs w:val="20"/>
        </w:rPr>
        <w:t xml:space="preserve"> judicial</w:t>
      </w:r>
      <w:r w:rsidRPr="007B2ECC">
        <w:rPr>
          <w:rFonts w:ascii="Times New Roman" w:hAnsi="Times New Roman" w:cs="Times New Roman"/>
          <w:sz w:val="20"/>
          <w:szCs w:val="20"/>
        </w:rPr>
        <w:t xml:space="preserve"> body of the United Nations. </w:t>
      </w:r>
      <w:r>
        <w:rPr>
          <w:rFonts w:ascii="Times New Roman" w:hAnsi="Times New Roman" w:cs="Times New Roman"/>
          <w:sz w:val="20"/>
          <w:szCs w:val="20"/>
        </w:rPr>
        <w:t xml:space="preserve">U.N. Charter, art. 92. </w:t>
      </w:r>
    </w:p>
  </w:footnote>
  <w:footnote w:id="53">
    <w:p w14:paraId="274CE48E" w14:textId="400FA785" w:rsidR="00802DBC" w:rsidRPr="007B2ECC" w:rsidRDefault="00802DBC" w:rsidP="007B2ECC">
      <w:pPr>
        <w:pStyle w:val="FootnoteText"/>
        <w:ind w:firstLine="144"/>
        <w:jc w:val="both"/>
        <w:rPr>
          <w:rFonts w:asciiTheme="majorBidi" w:hAnsiTheme="majorBidi" w:cstheme="majorBidi"/>
          <w:sz w:val="20"/>
          <w:szCs w:val="20"/>
        </w:rPr>
      </w:pPr>
      <w:r w:rsidRPr="007B2ECC">
        <w:rPr>
          <w:rStyle w:val="FootnoteReference"/>
          <w:rFonts w:asciiTheme="majorBidi" w:hAnsiTheme="majorBidi" w:cstheme="majorBidi"/>
          <w:sz w:val="20"/>
          <w:szCs w:val="20"/>
        </w:rPr>
        <w:footnoteRef/>
      </w:r>
      <w:r w:rsidRPr="007B2ECC">
        <w:rPr>
          <w:rFonts w:asciiTheme="majorBidi" w:hAnsiTheme="majorBidi" w:cstheme="majorBidi"/>
          <w:sz w:val="20"/>
          <w:szCs w:val="20"/>
        </w:rPr>
        <w:t xml:space="preserve"> Both the International Criminal Tribunal for the Former Yugoslavia and the International Criminal Tribunal for Rwanda have convicted individuals of genocide.</w:t>
      </w:r>
      <w:r>
        <w:rPr>
          <w:rFonts w:asciiTheme="majorBidi" w:hAnsiTheme="majorBidi" w:cstheme="majorBidi"/>
          <w:sz w:val="20"/>
          <w:szCs w:val="20"/>
        </w:rPr>
        <w:t xml:space="preserve"> </w:t>
      </w:r>
      <w:r w:rsidRPr="007B2ECC">
        <w:rPr>
          <w:rFonts w:asciiTheme="majorBidi" w:hAnsiTheme="majorBidi" w:cstheme="majorBidi"/>
          <w:sz w:val="20"/>
          <w:szCs w:val="20"/>
        </w:rPr>
        <w:t xml:space="preserve">However, all of the persons convicted by the ICC have been convicted either of war crimes or crimes against humanity. </w:t>
      </w:r>
    </w:p>
  </w:footnote>
  <w:footnote w:id="54">
    <w:p w14:paraId="4DE9737E" w14:textId="0DB8543D" w:rsidR="00802DBC" w:rsidRPr="007B2ECC" w:rsidRDefault="00802DBC" w:rsidP="007B2ECC">
      <w:pPr>
        <w:pStyle w:val="FootnoteText"/>
        <w:ind w:firstLine="144"/>
        <w:jc w:val="both"/>
        <w:rPr>
          <w:rFonts w:ascii="Times New Roman" w:hAnsi="Times New Roman" w:cs="Times New Roman"/>
          <w:sz w:val="20"/>
          <w:szCs w:val="20"/>
        </w:rPr>
      </w:pPr>
      <w:r w:rsidRPr="007B2ECC">
        <w:rPr>
          <w:rStyle w:val="FootnoteReference"/>
          <w:rFonts w:ascii="Times New Roman" w:hAnsi="Times New Roman" w:cs="Times New Roman"/>
          <w:sz w:val="20"/>
          <w:szCs w:val="20"/>
        </w:rPr>
        <w:footnoteRef/>
      </w:r>
      <w:r w:rsidRPr="007B2ECC">
        <w:rPr>
          <w:rFonts w:ascii="Times New Roman" w:hAnsi="Times New Roman" w:cs="Times New Roman"/>
          <w:sz w:val="20"/>
          <w:szCs w:val="20"/>
        </w:rPr>
        <w:t xml:space="preserve"> There are four Geneva Conventions—Geneva Convention (I) for the Amelioration of the Condition of the Wounded and Sick in Armed Forces in the Field; Geneva Convention (II) for the Amelioration of the Condition of Wounded, Sick and Shipwrecked Members of Armed Forces at Sea; Geneva Convention (III) Relative to the Treatment of Prisoners of War; and Geneva Convention (IV) Relative to the Protection of Civilian Persons in Time of War.</w:t>
      </w:r>
      <w:r>
        <w:rPr>
          <w:rFonts w:ascii="Times New Roman" w:hAnsi="Times New Roman" w:cs="Times New Roman"/>
          <w:sz w:val="20"/>
          <w:szCs w:val="20"/>
        </w:rPr>
        <w:t xml:space="preserve"> </w:t>
      </w:r>
      <w:r w:rsidRPr="008F55A4">
        <w:rPr>
          <w:rFonts w:ascii="Times New Roman" w:hAnsi="Times New Roman" w:cs="Times New Roman"/>
          <w:i/>
          <w:iCs/>
          <w:sz w:val="20"/>
          <w:szCs w:val="20"/>
        </w:rPr>
        <w:t>See</w:t>
      </w:r>
      <w:r>
        <w:rPr>
          <w:rFonts w:ascii="Times New Roman" w:hAnsi="Times New Roman" w:cs="Times New Roman"/>
          <w:sz w:val="20"/>
          <w:szCs w:val="20"/>
        </w:rPr>
        <w:t xml:space="preserve"> Geneva I, Geneva II, Geneva III, and Geneva IV</w:t>
      </w:r>
      <w:r w:rsidR="008F55A4">
        <w:rPr>
          <w:rFonts w:ascii="Times New Roman" w:hAnsi="Times New Roman" w:cs="Times New Roman"/>
          <w:sz w:val="20"/>
          <w:szCs w:val="20"/>
        </w:rPr>
        <w:t xml:space="preserve">, </w:t>
      </w:r>
      <w:r w:rsidRPr="00445C4C">
        <w:rPr>
          <w:rFonts w:ascii="Times New Roman" w:hAnsi="Times New Roman" w:cs="Times New Roman"/>
          <w:i/>
          <w:sz w:val="20"/>
          <w:szCs w:val="20"/>
        </w:rPr>
        <w:t>supra</w:t>
      </w:r>
      <w:r>
        <w:rPr>
          <w:rFonts w:ascii="Times New Roman" w:hAnsi="Times New Roman" w:cs="Times New Roman"/>
          <w:sz w:val="20"/>
          <w:szCs w:val="20"/>
        </w:rPr>
        <w:t xml:space="preserve"> note 4.</w:t>
      </w:r>
    </w:p>
  </w:footnote>
  <w:footnote w:id="55">
    <w:p w14:paraId="1D94B6F2" w14:textId="61F67CFC" w:rsidR="00802DBC" w:rsidRPr="007B2ECC" w:rsidRDefault="00802DBC" w:rsidP="007B2ECC">
      <w:pPr>
        <w:pStyle w:val="FootnoteText"/>
        <w:ind w:firstLine="144"/>
        <w:jc w:val="both"/>
        <w:rPr>
          <w:rFonts w:ascii="Times New Roman" w:hAnsi="Times New Roman" w:cs="Times New Roman"/>
          <w:sz w:val="20"/>
          <w:szCs w:val="20"/>
        </w:rPr>
      </w:pPr>
      <w:r w:rsidRPr="007B2ECC">
        <w:rPr>
          <w:rStyle w:val="FootnoteReference"/>
          <w:rFonts w:ascii="Times New Roman" w:hAnsi="Times New Roman" w:cs="Times New Roman"/>
          <w:sz w:val="20"/>
          <w:szCs w:val="20"/>
        </w:rPr>
        <w:footnoteRef/>
      </w:r>
      <w:r w:rsidRPr="007B2ECC">
        <w:rPr>
          <w:rFonts w:ascii="Times New Roman" w:hAnsi="Times New Roman" w:cs="Times New Roman"/>
          <w:sz w:val="20"/>
          <w:szCs w:val="20"/>
        </w:rPr>
        <w:t xml:space="preserve"> </w:t>
      </w:r>
      <w:r w:rsidRPr="007B2ECC">
        <w:rPr>
          <w:rFonts w:ascii="Times New Roman" w:hAnsi="Times New Roman" w:cs="Times New Roman"/>
          <w:i/>
          <w:iCs/>
          <w:sz w:val="20"/>
          <w:szCs w:val="20"/>
        </w:rPr>
        <w:t xml:space="preserve">Treaties and Customary Law, </w:t>
      </w:r>
      <w:r>
        <w:rPr>
          <w:rFonts w:ascii="Times New Roman" w:hAnsi="Times New Roman" w:cs="Times New Roman"/>
          <w:smallCaps/>
          <w:sz w:val="20"/>
          <w:szCs w:val="20"/>
        </w:rPr>
        <w:t>ICRC</w:t>
      </w:r>
      <w:r w:rsidRPr="007B2ECC">
        <w:rPr>
          <w:rFonts w:ascii="Times New Roman" w:hAnsi="Times New Roman" w:cs="Times New Roman"/>
          <w:i/>
          <w:iCs/>
          <w:sz w:val="20"/>
          <w:szCs w:val="20"/>
        </w:rPr>
        <w:t xml:space="preserve"> </w:t>
      </w:r>
      <w:r w:rsidRPr="007B2ECC">
        <w:rPr>
          <w:rFonts w:ascii="Times New Roman" w:hAnsi="Times New Roman" w:cs="Times New Roman"/>
          <w:sz w:val="20"/>
          <w:szCs w:val="20"/>
        </w:rPr>
        <w:t>(Oct. 29, 2010), https://www.icrc.org/en/document/treaties-and-customary-law.</w:t>
      </w:r>
    </w:p>
  </w:footnote>
  <w:footnote w:id="56">
    <w:p w14:paraId="70366436" w14:textId="32C5E614" w:rsidR="00802DBC" w:rsidRPr="007B2ECC" w:rsidRDefault="00802DBC" w:rsidP="007B2ECC">
      <w:pPr>
        <w:pStyle w:val="FootnoteText"/>
        <w:ind w:firstLine="144"/>
        <w:jc w:val="both"/>
        <w:rPr>
          <w:rFonts w:ascii="Times New Roman" w:hAnsi="Times New Roman" w:cs="Times New Roman"/>
          <w:sz w:val="20"/>
          <w:szCs w:val="20"/>
        </w:rPr>
      </w:pPr>
      <w:r w:rsidRPr="007B2ECC">
        <w:rPr>
          <w:rStyle w:val="FootnoteReference"/>
          <w:rFonts w:ascii="Times New Roman" w:hAnsi="Times New Roman" w:cs="Times New Roman"/>
          <w:sz w:val="20"/>
          <w:szCs w:val="20"/>
        </w:rPr>
        <w:footnoteRef/>
      </w:r>
      <w:r w:rsidRPr="007B2ECC">
        <w:rPr>
          <w:rFonts w:ascii="Times New Roman" w:hAnsi="Times New Roman" w:cs="Times New Roman"/>
          <w:sz w:val="20"/>
          <w:szCs w:val="20"/>
        </w:rPr>
        <w:t xml:space="preserve"> </w:t>
      </w:r>
      <w:r w:rsidRPr="007B2ECC">
        <w:rPr>
          <w:rFonts w:ascii="Times New Roman" w:hAnsi="Times New Roman" w:cs="Times New Roman"/>
          <w:i/>
          <w:iCs/>
          <w:sz w:val="20"/>
          <w:szCs w:val="20"/>
        </w:rPr>
        <w:t xml:space="preserve">The Geneva Conventions of 1949 and their Additional Protocols, </w:t>
      </w:r>
      <w:r>
        <w:rPr>
          <w:rFonts w:ascii="Times New Roman" w:hAnsi="Times New Roman" w:cs="Times New Roman"/>
          <w:smallCaps/>
          <w:sz w:val="20"/>
          <w:szCs w:val="20"/>
        </w:rPr>
        <w:t>ICRC</w:t>
      </w:r>
      <w:r w:rsidRPr="007B2ECC">
        <w:rPr>
          <w:rFonts w:ascii="Times New Roman" w:hAnsi="Times New Roman" w:cs="Times New Roman"/>
          <w:i/>
          <w:iCs/>
          <w:sz w:val="20"/>
          <w:szCs w:val="20"/>
        </w:rPr>
        <w:t xml:space="preserve"> </w:t>
      </w:r>
      <w:r w:rsidRPr="007B2ECC">
        <w:rPr>
          <w:rFonts w:ascii="Times New Roman" w:hAnsi="Times New Roman" w:cs="Times New Roman"/>
          <w:sz w:val="20"/>
          <w:szCs w:val="20"/>
        </w:rPr>
        <w:t>(Jan. 1, 2014),</w:t>
      </w:r>
      <w:r w:rsidRPr="007B2ECC">
        <w:rPr>
          <w:rFonts w:ascii="Times New Roman" w:hAnsi="Times New Roman" w:cs="Times New Roman"/>
          <w:smallCaps/>
          <w:sz w:val="20"/>
          <w:szCs w:val="20"/>
        </w:rPr>
        <w:t xml:space="preserve"> </w:t>
      </w:r>
      <w:r w:rsidRPr="007B2ECC">
        <w:rPr>
          <w:rFonts w:ascii="Times New Roman" w:hAnsi="Times New Roman" w:cs="Times New Roman"/>
          <w:sz w:val="20"/>
          <w:szCs w:val="20"/>
        </w:rPr>
        <w:t>https://www.icrc.org/en/document/geneva-conventions-1949-additional-protocols.</w:t>
      </w:r>
    </w:p>
  </w:footnote>
  <w:footnote w:id="57">
    <w:p w14:paraId="1FE66843" w14:textId="5C2B8D1B" w:rsidR="00802DBC" w:rsidRPr="007B2ECC" w:rsidRDefault="00802DBC" w:rsidP="007B2ECC">
      <w:pPr>
        <w:pStyle w:val="FootnoteText"/>
        <w:ind w:firstLine="144"/>
        <w:jc w:val="both"/>
        <w:rPr>
          <w:rFonts w:ascii="Times New Roman" w:hAnsi="Times New Roman" w:cs="Times New Roman"/>
          <w:sz w:val="20"/>
          <w:szCs w:val="20"/>
        </w:rPr>
      </w:pPr>
      <w:r w:rsidRPr="007B2ECC">
        <w:rPr>
          <w:rStyle w:val="FootnoteReference"/>
          <w:rFonts w:ascii="Times New Roman" w:hAnsi="Times New Roman" w:cs="Times New Roman"/>
          <w:sz w:val="20"/>
          <w:szCs w:val="20"/>
        </w:rPr>
        <w:footnoteRef/>
      </w:r>
      <w:r w:rsidRPr="007B2ECC">
        <w:rPr>
          <w:rFonts w:ascii="Times New Roman" w:hAnsi="Times New Roman" w:cs="Times New Roman"/>
          <w:sz w:val="20"/>
          <w:szCs w:val="20"/>
        </w:rPr>
        <w:t xml:space="preserve"> </w:t>
      </w:r>
      <w:r w:rsidRPr="007B2ECC">
        <w:rPr>
          <w:rFonts w:ascii="Times New Roman" w:hAnsi="Times New Roman" w:cs="Times New Roman"/>
          <w:i/>
          <w:sz w:val="20"/>
          <w:szCs w:val="20"/>
        </w:rPr>
        <w:t xml:space="preserve">See </w:t>
      </w:r>
      <w:r w:rsidRPr="007B2ECC">
        <w:rPr>
          <w:rFonts w:ascii="Times New Roman" w:hAnsi="Times New Roman" w:cs="Times New Roman"/>
          <w:sz w:val="20"/>
          <w:szCs w:val="20"/>
        </w:rPr>
        <w:t>1949 Geneva Convention (I)</w:t>
      </w:r>
      <w:r>
        <w:rPr>
          <w:rFonts w:ascii="Times New Roman" w:hAnsi="Times New Roman" w:cs="Times New Roman"/>
          <w:sz w:val="20"/>
          <w:szCs w:val="20"/>
        </w:rPr>
        <w:t>,</w:t>
      </w:r>
      <w:r w:rsidRPr="007B2ECC">
        <w:rPr>
          <w:rFonts w:ascii="Times New Roman" w:hAnsi="Times New Roman" w:cs="Times New Roman"/>
          <w:sz w:val="20"/>
          <w:szCs w:val="20"/>
        </w:rPr>
        <w:t xml:space="preserve"> </w:t>
      </w:r>
      <w:r w:rsidRPr="007B2ECC">
        <w:rPr>
          <w:rFonts w:ascii="Times New Roman" w:hAnsi="Times New Roman" w:cs="Times New Roman"/>
          <w:i/>
          <w:iCs/>
          <w:sz w:val="20"/>
          <w:szCs w:val="20"/>
        </w:rPr>
        <w:t>supra</w:t>
      </w:r>
      <w:r w:rsidRPr="007B2ECC">
        <w:rPr>
          <w:rFonts w:ascii="Times New Roman" w:hAnsi="Times New Roman" w:cs="Times New Roman"/>
          <w:sz w:val="20"/>
          <w:szCs w:val="20"/>
        </w:rPr>
        <w:t xml:space="preserve"> note 4; 1949 Geneva Convention (II)</w:t>
      </w:r>
      <w:r>
        <w:rPr>
          <w:rFonts w:ascii="Times New Roman" w:hAnsi="Times New Roman" w:cs="Times New Roman"/>
          <w:sz w:val="20"/>
          <w:szCs w:val="20"/>
        </w:rPr>
        <w:t>,</w:t>
      </w:r>
      <w:r w:rsidRPr="007B2ECC">
        <w:rPr>
          <w:rFonts w:ascii="Times New Roman" w:hAnsi="Times New Roman" w:cs="Times New Roman"/>
          <w:sz w:val="20"/>
          <w:szCs w:val="20"/>
        </w:rPr>
        <w:t xml:space="preserve"> </w:t>
      </w:r>
      <w:r w:rsidRPr="007B2ECC">
        <w:rPr>
          <w:rFonts w:ascii="Times New Roman" w:hAnsi="Times New Roman" w:cs="Times New Roman"/>
          <w:i/>
          <w:iCs/>
          <w:sz w:val="20"/>
          <w:szCs w:val="20"/>
        </w:rPr>
        <w:t>supra</w:t>
      </w:r>
      <w:r w:rsidRPr="007B2ECC">
        <w:rPr>
          <w:rFonts w:ascii="Times New Roman" w:hAnsi="Times New Roman" w:cs="Times New Roman"/>
          <w:sz w:val="20"/>
          <w:szCs w:val="20"/>
        </w:rPr>
        <w:t xml:space="preserve"> note 4; 1949 Geneva Convention (III)</w:t>
      </w:r>
      <w:r>
        <w:rPr>
          <w:rFonts w:ascii="Times New Roman" w:hAnsi="Times New Roman" w:cs="Times New Roman"/>
          <w:sz w:val="20"/>
          <w:szCs w:val="20"/>
        </w:rPr>
        <w:t>,</w:t>
      </w:r>
      <w:r w:rsidRPr="007B2ECC">
        <w:rPr>
          <w:rFonts w:ascii="Times New Roman" w:hAnsi="Times New Roman" w:cs="Times New Roman"/>
          <w:sz w:val="20"/>
          <w:szCs w:val="20"/>
        </w:rPr>
        <w:t xml:space="preserve"> </w:t>
      </w:r>
      <w:r w:rsidRPr="007B2ECC">
        <w:rPr>
          <w:rFonts w:ascii="Times New Roman" w:hAnsi="Times New Roman" w:cs="Times New Roman"/>
          <w:i/>
          <w:iCs/>
          <w:sz w:val="20"/>
          <w:szCs w:val="20"/>
        </w:rPr>
        <w:t xml:space="preserve">supra </w:t>
      </w:r>
      <w:r w:rsidRPr="007B2ECC">
        <w:rPr>
          <w:rFonts w:ascii="Times New Roman" w:hAnsi="Times New Roman" w:cs="Times New Roman"/>
          <w:sz w:val="20"/>
          <w:szCs w:val="20"/>
        </w:rPr>
        <w:t>note 4; 1949 Geneva Convention (IV)</w:t>
      </w:r>
      <w:r>
        <w:rPr>
          <w:rFonts w:ascii="Times New Roman" w:hAnsi="Times New Roman" w:cs="Times New Roman"/>
          <w:sz w:val="20"/>
          <w:szCs w:val="20"/>
        </w:rPr>
        <w:t>,</w:t>
      </w:r>
      <w:r w:rsidRPr="007B2ECC">
        <w:rPr>
          <w:rFonts w:ascii="Times New Roman" w:hAnsi="Times New Roman" w:cs="Times New Roman"/>
          <w:sz w:val="20"/>
          <w:szCs w:val="20"/>
        </w:rPr>
        <w:t xml:space="preserve"> </w:t>
      </w:r>
      <w:r w:rsidRPr="007B2ECC">
        <w:rPr>
          <w:rFonts w:ascii="Times New Roman" w:hAnsi="Times New Roman" w:cs="Times New Roman"/>
          <w:i/>
          <w:iCs/>
          <w:sz w:val="20"/>
          <w:szCs w:val="20"/>
        </w:rPr>
        <w:t>supra</w:t>
      </w:r>
      <w:r w:rsidRPr="007B2ECC">
        <w:rPr>
          <w:rFonts w:ascii="Times New Roman" w:hAnsi="Times New Roman" w:cs="Times New Roman"/>
          <w:sz w:val="20"/>
          <w:szCs w:val="20"/>
        </w:rPr>
        <w:t xml:space="preserve"> note 4.</w:t>
      </w:r>
    </w:p>
  </w:footnote>
  <w:footnote w:id="58">
    <w:p w14:paraId="5E407024" w14:textId="6D185259" w:rsidR="00802DBC" w:rsidRPr="007B2ECC" w:rsidRDefault="00802DBC" w:rsidP="007B2ECC">
      <w:pPr>
        <w:pStyle w:val="FootnoteText"/>
        <w:ind w:firstLine="144"/>
        <w:jc w:val="both"/>
        <w:rPr>
          <w:rFonts w:ascii="Times New Roman" w:hAnsi="Times New Roman" w:cs="Times New Roman"/>
          <w:sz w:val="20"/>
          <w:szCs w:val="20"/>
        </w:rPr>
      </w:pPr>
      <w:r w:rsidRPr="007B2ECC">
        <w:rPr>
          <w:rStyle w:val="FootnoteReference"/>
          <w:rFonts w:ascii="Times New Roman" w:hAnsi="Times New Roman" w:cs="Times New Roman"/>
          <w:sz w:val="20"/>
          <w:szCs w:val="20"/>
        </w:rPr>
        <w:footnoteRef/>
      </w:r>
      <w:r w:rsidRPr="007B2ECC">
        <w:rPr>
          <w:rFonts w:ascii="Times New Roman" w:hAnsi="Times New Roman" w:cs="Times New Roman"/>
          <w:sz w:val="20"/>
          <w:szCs w:val="20"/>
        </w:rPr>
        <w:t xml:space="preserve"> </w:t>
      </w:r>
      <w:r w:rsidRPr="007B2ECC">
        <w:rPr>
          <w:rFonts w:ascii="Times New Roman" w:hAnsi="Times New Roman" w:cs="Times New Roman"/>
          <w:i/>
          <w:sz w:val="20"/>
          <w:szCs w:val="20"/>
        </w:rPr>
        <w:t xml:space="preserve">See </w:t>
      </w:r>
      <w:r>
        <w:rPr>
          <w:rFonts w:ascii="Times New Roman" w:hAnsi="Times New Roman" w:cs="Times New Roman"/>
          <w:i/>
          <w:sz w:val="20"/>
          <w:szCs w:val="20"/>
        </w:rPr>
        <w:t>i</w:t>
      </w:r>
      <w:r w:rsidRPr="007B2ECC">
        <w:rPr>
          <w:rFonts w:ascii="Times New Roman" w:hAnsi="Times New Roman" w:cs="Times New Roman"/>
          <w:i/>
          <w:sz w:val="20"/>
          <w:szCs w:val="20"/>
        </w:rPr>
        <w:t>d</w:t>
      </w:r>
      <w:r w:rsidRPr="007B2ECC">
        <w:rPr>
          <w:rFonts w:ascii="Times New Roman" w:hAnsi="Times New Roman" w:cs="Times New Roman"/>
          <w:sz w:val="20"/>
          <w:szCs w:val="20"/>
        </w:rPr>
        <w:t xml:space="preserve">. </w:t>
      </w:r>
    </w:p>
  </w:footnote>
  <w:footnote w:id="59">
    <w:p w14:paraId="3D189D64" w14:textId="591C0C4D" w:rsidR="00802DBC" w:rsidRPr="007B2ECC" w:rsidRDefault="00802DBC" w:rsidP="007B2ECC">
      <w:pPr>
        <w:pStyle w:val="FootnoteText"/>
        <w:ind w:firstLine="144"/>
        <w:jc w:val="both"/>
        <w:rPr>
          <w:rFonts w:ascii="Times New Roman" w:hAnsi="Times New Roman" w:cs="Times New Roman"/>
          <w:sz w:val="20"/>
          <w:szCs w:val="20"/>
        </w:rPr>
      </w:pPr>
      <w:r w:rsidRPr="007B2ECC">
        <w:rPr>
          <w:rStyle w:val="FootnoteReference"/>
          <w:rFonts w:ascii="Times New Roman" w:hAnsi="Times New Roman" w:cs="Times New Roman"/>
          <w:sz w:val="20"/>
          <w:szCs w:val="20"/>
        </w:rPr>
        <w:footnoteRef/>
      </w:r>
      <w:r w:rsidRPr="007B2ECC">
        <w:rPr>
          <w:rFonts w:ascii="Times New Roman" w:hAnsi="Times New Roman" w:cs="Times New Roman"/>
          <w:sz w:val="20"/>
          <w:szCs w:val="20"/>
        </w:rPr>
        <w:t xml:space="preserve"> </w:t>
      </w:r>
      <w:r w:rsidRPr="007B2ECC">
        <w:rPr>
          <w:rFonts w:ascii="Times New Roman" w:hAnsi="Times New Roman" w:cs="Times New Roman"/>
          <w:i/>
          <w:sz w:val="20"/>
          <w:szCs w:val="20"/>
        </w:rPr>
        <w:t xml:space="preserve">See </w:t>
      </w:r>
      <w:r>
        <w:rPr>
          <w:rFonts w:ascii="Times New Roman" w:hAnsi="Times New Roman" w:cs="Times New Roman"/>
          <w:i/>
          <w:sz w:val="20"/>
          <w:szCs w:val="20"/>
        </w:rPr>
        <w:t>i</w:t>
      </w:r>
      <w:r w:rsidRPr="007B2ECC">
        <w:rPr>
          <w:rFonts w:ascii="Times New Roman" w:hAnsi="Times New Roman" w:cs="Times New Roman"/>
          <w:i/>
          <w:sz w:val="20"/>
          <w:szCs w:val="20"/>
        </w:rPr>
        <w:t>d</w:t>
      </w:r>
      <w:r w:rsidRPr="007B2ECC">
        <w:rPr>
          <w:rFonts w:ascii="Times New Roman" w:hAnsi="Times New Roman" w:cs="Times New Roman"/>
          <w:sz w:val="20"/>
          <w:szCs w:val="20"/>
        </w:rPr>
        <w:t xml:space="preserve">. </w:t>
      </w:r>
    </w:p>
  </w:footnote>
  <w:footnote w:id="60">
    <w:p w14:paraId="745AD2A7" w14:textId="377F7808" w:rsidR="00802DBC" w:rsidRPr="007B2ECC" w:rsidRDefault="00802DBC" w:rsidP="007B2ECC">
      <w:pPr>
        <w:pStyle w:val="FootnoteText"/>
        <w:ind w:firstLine="144"/>
        <w:jc w:val="both"/>
        <w:rPr>
          <w:rFonts w:ascii="Times New Roman" w:hAnsi="Times New Roman" w:cs="Times New Roman"/>
          <w:i/>
          <w:iCs/>
          <w:sz w:val="20"/>
          <w:szCs w:val="20"/>
        </w:rPr>
      </w:pPr>
      <w:r w:rsidRPr="007B2ECC">
        <w:rPr>
          <w:rStyle w:val="FootnoteReference"/>
          <w:rFonts w:ascii="Times New Roman" w:hAnsi="Times New Roman" w:cs="Times New Roman"/>
          <w:sz w:val="20"/>
          <w:szCs w:val="20"/>
        </w:rPr>
        <w:footnoteRef/>
      </w:r>
      <w:r w:rsidRPr="007B2ECC">
        <w:rPr>
          <w:rFonts w:ascii="Times New Roman" w:hAnsi="Times New Roman" w:cs="Times New Roman"/>
          <w:sz w:val="20"/>
          <w:szCs w:val="20"/>
        </w:rPr>
        <w:t xml:space="preserve"> </w:t>
      </w:r>
      <w:r w:rsidRPr="007B2ECC">
        <w:rPr>
          <w:rFonts w:ascii="Times New Roman" w:hAnsi="Times New Roman" w:cs="Times New Roman"/>
          <w:i/>
          <w:iCs/>
          <w:sz w:val="20"/>
          <w:szCs w:val="20"/>
        </w:rPr>
        <w:t>Id.</w:t>
      </w:r>
    </w:p>
  </w:footnote>
  <w:footnote w:id="61">
    <w:p w14:paraId="5B503BE4" w14:textId="1A4A0421" w:rsidR="00802DBC" w:rsidRPr="007B2ECC" w:rsidRDefault="00802DBC" w:rsidP="00B46F7E">
      <w:pPr>
        <w:pStyle w:val="FootnoteText"/>
        <w:ind w:firstLine="144"/>
        <w:jc w:val="both"/>
        <w:rPr>
          <w:rFonts w:ascii="Times New Roman" w:hAnsi="Times New Roman" w:cs="Times New Roman"/>
          <w:sz w:val="20"/>
          <w:szCs w:val="20"/>
        </w:rPr>
      </w:pPr>
      <w:r w:rsidRPr="007B2ECC">
        <w:rPr>
          <w:rStyle w:val="FootnoteReference"/>
          <w:rFonts w:ascii="Times New Roman" w:hAnsi="Times New Roman" w:cs="Times New Roman"/>
          <w:sz w:val="20"/>
          <w:szCs w:val="20"/>
        </w:rPr>
        <w:footnoteRef/>
      </w:r>
      <w:r w:rsidRPr="007B2ECC">
        <w:rPr>
          <w:rFonts w:ascii="Times New Roman" w:hAnsi="Times New Roman" w:cs="Times New Roman"/>
          <w:sz w:val="20"/>
          <w:szCs w:val="20"/>
        </w:rPr>
        <w:t xml:space="preserve"> </w:t>
      </w:r>
      <w:r w:rsidRPr="007B2ECC">
        <w:rPr>
          <w:rFonts w:ascii="Times New Roman" w:hAnsi="Times New Roman" w:cs="Times New Roman"/>
          <w:i/>
          <w:iCs/>
          <w:sz w:val="20"/>
          <w:szCs w:val="20"/>
        </w:rPr>
        <w:t>Treaties and Customary Law</w:t>
      </w:r>
      <w:r w:rsidRPr="007B2ECC">
        <w:rPr>
          <w:rFonts w:ascii="Times New Roman" w:hAnsi="Times New Roman" w:cs="Times New Roman"/>
          <w:smallCaps/>
          <w:sz w:val="20"/>
          <w:szCs w:val="20"/>
        </w:rPr>
        <w:t>,</w:t>
      </w:r>
      <w:r w:rsidRPr="007B2ECC">
        <w:rPr>
          <w:rFonts w:ascii="Times New Roman" w:hAnsi="Times New Roman" w:cs="Times New Roman"/>
          <w:sz w:val="20"/>
          <w:szCs w:val="20"/>
        </w:rPr>
        <w:t xml:space="preserve"> </w:t>
      </w:r>
      <w:r w:rsidRPr="007B2ECC">
        <w:rPr>
          <w:rFonts w:ascii="Times New Roman" w:hAnsi="Times New Roman" w:cs="Times New Roman"/>
          <w:i/>
          <w:iCs/>
          <w:sz w:val="20"/>
          <w:szCs w:val="20"/>
        </w:rPr>
        <w:t xml:space="preserve">supra </w:t>
      </w:r>
      <w:r>
        <w:rPr>
          <w:rFonts w:ascii="Times New Roman" w:hAnsi="Times New Roman" w:cs="Times New Roman"/>
          <w:sz w:val="20"/>
          <w:szCs w:val="20"/>
        </w:rPr>
        <w:t>note 54</w:t>
      </w:r>
      <w:r w:rsidRPr="007B2ECC">
        <w:rPr>
          <w:rFonts w:ascii="Times New Roman" w:hAnsi="Times New Roman" w:cs="Times New Roman"/>
          <w:sz w:val="20"/>
          <w:szCs w:val="20"/>
        </w:rPr>
        <w:t>.</w:t>
      </w:r>
    </w:p>
  </w:footnote>
  <w:footnote w:id="62">
    <w:p w14:paraId="12591A47" w14:textId="38AD384A" w:rsidR="00802DBC" w:rsidRPr="00102CE6" w:rsidRDefault="00802DBC" w:rsidP="007B2ECC">
      <w:pPr>
        <w:pStyle w:val="FootnoteText"/>
        <w:ind w:firstLine="144"/>
        <w:jc w:val="both"/>
        <w:rPr>
          <w:rFonts w:ascii="Times New Roman" w:hAnsi="Times New Roman" w:cs="Times New Roman"/>
          <w:sz w:val="20"/>
          <w:szCs w:val="20"/>
        </w:rPr>
      </w:pPr>
      <w:r w:rsidRPr="007B2ECC">
        <w:rPr>
          <w:rStyle w:val="FootnoteReference"/>
          <w:rFonts w:ascii="Times New Roman" w:hAnsi="Times New Roman" w:cs="Times New Roman"/>
          <w:sz w:val="20"/>
          <w:szCs w:val="20"/>
        </w:rPr>
        <w:footnoteRef/>
      </w:r>
      <w:r w:rsidRPr="007B2ECC">
        <w:rPr>
          <w:rFonts w:ascii="Times New Roman" w:hAnsi="Times New Roman" w:cs="Times New Roman"/>
          <w:sz w:val="20"/>
          <w:szCs w:val="20"/>
        </w:rPr>
        <w:t xml:space="preserve"> </w:t>
      </w:r>
      <w:r w:rsidRPr="007B2ECC">
        <w:rPr>
          <w:rFonts w:ascii="Times New Roman" w:hAnsi="Times New Roman" w:cs="Times New Roman"/>
          <w:i/>
          <w:iCs/>
          <w:sz w:val="20"/>
          <w:szCs w:val="20"/>
        </w:rPr>
        <w:t>The Geneva Conventions of 1949 and their Additional Protocols</w:t>
      </w:r>
      <w:r w:rsidRPr="007B2ECC">
        <w:rPr>
          <w:rFonts w:ascii="Times New Roman" w:hAnsi="Times New Roman" w:cs="Times New Roman"/>
          <w:sz w:val="20"/>
          <w:szCs w:val="20"/>
        </w:rPr>
        <w:t xml:space="preserve">, </w:t>
      </w:r>
      <w:r w:rsidRPr="007B2ECC">
        <w:rPr>
          <w:rFonts w:ascii="Times New Roman" w:hAnsi="Times New Roman" w:cs="Times New Roman"/>
          <w:i/>
          <w:iCs/>
          <w:sz w:val="20"/>
          <w:szCs w:val="20"/>
        </w:rPr>
        <w:t>supra</w:t>
      </w:r>
      <w:r w:rsidRPr="00102CE6">
        <w:rPr>
          <w:rFonts w:ascii="Times New Roman" w:hAnsi="Times New Roman" w:cs="Times New Roman"/>
          <w:sz w:val="20"/>
          <w:szCs w:val="20"/>
        </w:rPr>
        <w:t xml:space="preserve"> </w:t>
      </w:r>
      <w:r>
        <w:rPr>
          <w:rFonts w:ascii="Times New Roman" w:hAnsi="Times New Roman" w:cs="Times New Roman"/>
          <w:sz w:val="20"/>
          <w:szCs w:val="20"/>
        </w:rPr>
        <w:t>note 56</w:t>
      </w:r>
      <w:r w:rsidRPr="00102CE6">
        <w:rPr>
          <w:rFonts w:ascii="Times New Roman" w:hAnsi="Times New Roman" w:cs="Times New Roman"/>
          <w:sz w:val="20"/>
          <w:szCs w:val="20"/>
        </w:rPr>
        <w:t>.</w:t>
      </w:r>
    </w:p>
  </w:footnote>
  <w:footnote w:id="63">
    <w:p w14:paraId="2BD6E3C9" w14:textId="7F93B322" w:rsidR="00802DBC" w:rsidRPr="00EF740A" w:rsidRDefault="00802DBC" w:rsidP="007B2ECC">
      <w:pPr>
        <w:pStyle w:val="FootnoteText"/>
        <w:ind w:firstLine="144"/>
        <w:jc w:val="both"/>
        <w:rPr>
          <w:rFonts w:ascii="Times New Roman" w:hAnsi="Times New Roman" w:cs="Times New Roman"/>
          <w:sz w:val="20"/>
          <w:szCs w:val="20"/>
        </w:rPr>
      </w:pPr>
      <w:r w:rsidRPr="007B2ECC">
        <w:rPr>
          <w:rStyle w:val="FootnoteReference"/>
          <w:rFonts w:ascii="Times New Roman" w:hAnsi="Times New Roman" w:cs="Times New Roman"/>
          <w:sz w:val="20"/>
          <w:szCs w:val="20"/>
        </w:rPr>
        <w:footnoteRef/>
      </w:r>
      <w:r w:rsidRPr="007B2ECC">
        <w:rPr>
          <w:rFonts w:ascii="Times New Roman" w:hAnsi="Times New Roman" w:cs="Times New Roman"/>
          <w:sz w:val="20"/>
          <w:szCs w:val="20"/>
        </w:rPr>
        <w:t xml:space="preserve"> </w:t>
      </w:r>
      <w:r w:rsidRPr="00445C4C">
        <w:rPr>
          <w:rFonts w:ascii="Times New Roman" w:hAnsi="Times New Roman" w:cs="Times New Roman"/>
          <w:i/>
          <w:sz w:val="20"/>
          <w:szCs w:val="20"/>
        </w:rPr>
        <w:t xml:space="preserve">Jus </w:t>
      </w:r>
      <w:proofErr w:type="spellStart"/>
      <w:r w:rsidRPr="00445C4C">
        <w:rPr>
          <w:rFonts w:ascii="Times New Roman" w:hAnsi="Times New Roman" w:cs="Times New Roman"/>
          <w:i/>
          <w:sz w:val="20"/>
          <w:szCs w:val="20"/>
        </w:rPr>
        <w:t>Cogens</w:t>
      </w:r>
      <w:proofErr w:type="spellEnd"/>
      <w:r>
        <w:rPr>
          <w:rFonts w:ascii="Times New Roman" w:hAnsi="Times New Roman" w:cs="Times New Roman"/>
          <w:sz w:val="20"/>
          <w:szCs w:val="20"/>
        </w:rPr>
        <w:t xml:space="preserve">, </w:t>
      </w:r>
      <w:r w:rsidRPr="007B2ECC">
        <w:rPr>
          <w:rFonts w:ascii="Times New Roman" w:eastAsia="Times New Roman" w:hAnsi="Times New Roman" w:cs="Times New Roman"/>
          <w:smallCaps/>
          <w:sz w:val="20"/>
          <w:szCs w:val="20"/>
        </w:rPr>
        <w:t>Black's Law Dictionary</w:t>
      </w:r>
      <w:r w:rsidRPr="007B2ECC">
        <w:rPr>
          <w:rFonts w:ascii="Times New Roman" w:eastAsia="Times New Roman" w:hAnsi="Times New Roman" w:cs="Times New Roman"/>
          <w:sz w:val="20"/>
          <w:szCs w:val="20"/>
        </w:rPr>
        <w:t xml:space="preserve"> (10th ed. 2014)</w:t>
      </w:r>
      <w:r w:rsidRPr="007B2ECC">
        <w:rPr>
          <w:rFonts w:ascii="Times New Roman" w:eastAsia="Times New Roman" w:hAnsi="Times New Roman" w:cs="Times New Roman"/>
          <w:smallCaps/>
          <w:sz w:val="20"/>
          <w:szCs w:val="20"/>
        </w:rPr>
        <w:t>.</w:t>
      </w:r>
    </w:p>
  </w:footnote>
  <w:footnote w:id="64">
    <w:p w14:paraId="0A5F6767" w14:textId="72195021" w:rsidR="00802DBC" w:rsidRPr="00102CE6" w:rsidRDefault="00802DBC" w:rsidP="003E6AD5">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EF740A">
        <w:rPr>
          <w:rFonts w:ascii="Times New Roman" w:hAnsi="Times New Roman" w:cs="Times New Roman"/>
          <w:i/>
          <w:sz w:val="20"/>
          <w:szCs w:val="20"/>
        </w:rPr>
        <w:t>Id</w:t>
      </w:r>
      <w:r w:rsidRPr="00EF740A">
        <w:rPr>
          <w:rFonts w:ascii="Times New Roman" w:hAnsi="Times New Roman" w:cs="Times New Roman"/>
          <w:sz w:val="20"/>
          <w:szCs w:val="20"/>
        </w:rPr>
        <w:t xml:space="preserve">. </w:t>
      </w:r>
    </w:p>
  </w:footnote>
  <w:footnote w:id="65">
    <w:p w14:paraId="218FFDB8" w14:textId="4760EC74" w:rsidR="00802DBC" w:rsidRPr="00102CE6" w:rsidRDefault="00802DBC" w:rsidP="003E6AD5">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102CE6">
        <w:rPr>
          <w:rFonts w:ascii="Times New Roman" w:hAnsi="Times New Roman" w:cs="Times New Roman"/>
          <w:sz w:val="20"/>
          <w:szCs w:val="20"/>
        </w:rPr>
        <w:t xml:space="preserve">Convention against Torture and Other Cruel, Inhuman or Degrading Treatment or Punishment, </w:t>
      </w:r>
      <w:r w:rsidRPr="00102CE6">
        <w:rPr>
          <w:rFonts w:ascii="Times New Roman" w:hAnsi="Times New Roman" w:cs="Times New Roman"/>
          <w:i/>
          <w:iCs/>
          <w:sz w:val="20"/>
          <w:szCs w:val="20"/>
        </w:rPr>
        <w:t>supra</w:t>
      </w:r>
      <w:r w:rsidRPr="00102CE6">
        <w:rPr>
          <w:rFonts w:ascii="Times New Roman" w:hAnsi="Times New Roman" w:cs="Times New Roman"/>
          <w:sz w:val="20"/>
          <w:szCs w:val="20"/>
        </w:rPr>
        <w:t xml:space="preserve"> note 4.</w:t>
      </w:r>
    </w:p>
  </w:footnote>
  <w:footnote w:id="66">
    <w:p w14:paraId="4B611694" w14:textId="4D0DE9CE" w:rsidR="00802DBC" w:rsidRPr="00102CE6" w:rsidRDefault="00802DBC" w:rsidP="003E6AD5">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EF740A">
        <w:rPr>
          <w:rFonts w:asciiTheme="majorBidi" w:hAnsiTheme="majorBidi" w:cstheme="majorBidi"/>
          <w:i/>
          <w:iCs/>
          <w:sz w:val="20"/>
          <w:szCs w:val="20"/>
        </w:rPr>
        <w:t xml:space="preserve">See generally </w:t>
      </w:r>
      <w:r>
        <w:rPr>
          <w:rFonts w:asciiTheme="majorBidi" w:hAnsiTheme="majorBidi" w:cstheme="majorBidi"/>
          <w:sz w:val="20"/>
          <w:szCs w:val="20"/>
        </w:rPr>
        <w:t xml:space="preserve">United Nations, </w:t>
      </w:r>
      <w:r>
        <w:rPr>
          <w:rFonts w:asciiTheme="majorBidi" w:hAnsiTheme="majorBidi" w:cstheme="majorBidi"/>
          <w:i/>
          <w:iCs/>
          <w:sz w:val="20"/>
          <w:szCs w:val="20"/>
        </w:rPr>
        <w:t>Report of the International Law</w:t>
      </w:r>
      <w:r w:rsidRPr="008076F4">
        <w:rPr>
          <w:rFonts w:asciiTheme="majorBidi" w:hAnsiTheme="majorBidi" w:cstheme="majorBidi"/>
          <w:i/>
          <w:iCs/>
          <w:sz w:val="20"/>
          <w:szCs w:val="20"/>
        </w:rPr>
        <w:t xml:space="preserve"> Commission</w:t>
      </w:r>
      <w:r>
        <w:rPr>
          <w:rFonts w:asciiTheme="majorBidi" w:hAnsiTheme="majorBidi" w:cstheme="majorBidi"/>
          <w:sz w:val="20"/>
          <w:szCs w:val="20"/>
        </w:rPr>
        <w:t>, U.N.</w:t>
      </w:r>
      <w:r w:rsidRPr="00102CE6">
        <w:rPr>
          <w:rFonts w:asciiTheme="majorBidi" w:hAnsiTheme="majorBidi" w:cstheme="majorBidi"/>
          <w:sz w:val="20"/>
          <w:szCs w:val="20"/>
        </w:rPr>
        <w:t xml:space="preserve"> Doc. A/69/10</w:t>
      </w:r>
      <w:r>
        <w:rPr>
          <w:rFonts w:asciiTheme="majorBidi" w:hAnsiTheme="majorBidi" w:cstheme="majorBidi"/>
          <w:sz w:val="20"/>
          <w:szCs w:val="20"/>
        </w:rPr>
        <w:t xml:space="preserve"> (2014)</w:t>
      </w:r>
      <w:r w:rsidRPr="00102CE6">
        <w:rPr>
          <w:rFonts w:asciiTheme="majorBidi" w:hAnsiTheme="majorBidi" w:cstheme="majorBidi"/>
          <w:sz w:val="20"/>
          <w:szCs w:val="20"/>
        </w:rPr>
        <w:t xml:space="preserve">; </w:t>
      </w:r>
      <w:r w:rsidR="00F4531E">
        <w:rPr>
          <w:rFonts w:asciiTheme="majorBidi" w:hAnsiTheme="majorBidi" w:cstheme="majorBidi"/>
          <w:sz w:val="20"/>
          <w:szCs w:val="20"/>
        </w:rPr>
        <w:t xml:space="preserve">M. </w:t>
      </w:r>
      <w:proofErr w:type="spellStart"/>
      <w:r w:rsidRPr="00102CE6">
        <w:rPr>
          <w:rFonts w:asciiTheme="majorBidi" w:hAnsiTheme="majorBidi" w:cstheme="majorBidi"/>
          <w:sz w:val="20"/>
          <w:szCs w:val="20"/>
        </w:rPr>
        <w:t>Cherif</w:t>
      </w:r>
      <w:proofErr w:type="spellEnd"/>
      <w:r w:rsidRPr="00102CE6">
        <w:rPr>
          <w:rFonts w:asciiTheme="majorBidi" w:hAnsiTheme="majorBidi" w:cstheme="majorBidi"/>
          <w:sz w:val="20"/>
          <w:szCs w:val="20"/>
        </w:rPr>
        <w:t xml:space="preserve"> </w:t>
      </w:r>
      <w:proofErr w:type="spellStart"/>
      <w:r w:rsidRPr="00102CE6">
        <w:rPr>
          <w:rFonts w:asciiTheme="majorBidi" w:hAnsiTheme="majorBidi" w:cstheme="majorBidi"/>
          <w:sz w:val="20"/>
          <w:szCs w:val="20"/>
        </w:rPr>
        <w:t>Bassiouni</w:t>
      </w:r>
      <w:proofErr w:type="spellEnd"/>
      <w:r w:rsidRPr="00102CE6">
        <w:rPr>
          <w:rFonts w:asciiTheme="majorBidi" w:hAnsiTheme="majorBidi" w:cstheme="majorBidi"/>
          <w:sz w:val="20"/>
          <w:szCs w:val="20"/>
        </w:rPr>
        <w:t xml:space="preserve">, </w:t>
      </w:r>
      <w:r w:rsidRPr="00102CE6">
        <w:rPr>
          <w:rFonts w:asciiTheme="majorBidi" w:hAnsiTheme="majorBidi" w:cstheme="majorBidi"/>
          <w:i/>
          <w:iCs/>
          <w:sz w:val="20"/>
          <w:szCs w:val="20"/>
        </w:rPr>
        <w:t xml:space="preserve">International Crimes: Jus </w:t>
      </w:r>
      <w:proofErr w:type="spellStart"/>
      <w:r w:rsidRPr="00102CE6">
        <w:rPr>
          <w:rFonts w:asciiTheme="majorBidi" w:hAnsiTheme="majorBidi" w:cstheme="majorBidi"/>
          <w:i/>
          <w:iCs/>
          <w:sz w:val="20"/>
          <w:szCs w:val="20"/>
        </w:rPr>
        <w:t>Cogens</w:t>
      </w:r>
      <w:proofErr w:type="spellEnd"/>
      <w:r w:rsidRPr="00102CE6">
        <w:rPr>
          <w:rFonts w:asciiTheme="majorBidi" w:hAnsiTheme="majorBidi" w:cstheme="majorBidi"/>
          <w:i/>
          <w:iCs/>
          <w:sz w:val="20"/>
          <w:szCs w:val="20"/>
        </w:rPr>
        <w:t xml:space="preserve"> and </w:t>
      </w:r>
      <w:proofErr w:type="spellStart"/>
      <w:r w:rsidRPr="00102CE6">
        <w:rPr>
          <w:rFonts w:asciiTheme="majorBidi" w:hAnsiTheme="majorBidi" w:cstheme="majorBidi"/>
          <w:i/>
          <w:iCs/>
          <w:sz w:val="20"/>
          <w:szCs w:val="20"/>
        </w:rPr>
        <w:t>Oligatio</w:t>
      </w:r>
      <w:proofErr w:type="spellEnd"/>
      <w:r w:rsidRPr="00102CE6">
        <w:rPr>
          <w:rFonts w:asciiTheme="majorBidi" w:hAnsiTheme="majorBidi" w:cstheme="majorBidi"/>
          <w:i/>
          <w:iCs/>
          <w:sz w:val="20"/>
          <w:szCs w:val="20"/>
        </w:rPr>
        <w:t xml:space="preserve"> </w:t>
      </w:r>
      <w:proofErr w:type="spellStart"/>
      <w:r w:rsidRPr="00102CE6">
        <w:rPr>
          <w:rFonts w:asciiTheme="majorBidi" w:hAnsiTheme="majorBidi" w:cstheme="majorBidi"/>
          <w:i/>
          <w:iCs/>
          <w:sz w:val="20"/>
          <w:szCs w:val="20"/>
        </w:rPr>
        <w:t>Erga</w:t>
      </w:r>
      <w:proofErr w:type="spellEnd"/>
      <w:r w:rsidRPr="00102CE6">
        <w:rPr>
          <w:rFonts w:asciiTheme="majorBidi" w:hAnsiTheme="majorBidi" w:cstheme="majorBidi"/>
          <w:i/>
          <w:iCs/>
          <w:sz w:val="20"/>
          <w:szCs w:val="20"/>
        </w:rPr>
        <w:t xml:space="preserve"> </w:t>
      </w:r>
      <w:proofErr w:type="spellStart"/>
      <w:r w:rsidRPr="00102CE6">
        <w:rPr>
          <w:rFonts w:asciiTheme="majorBidi" w:hAnsiTheme="majorBidi" w:cstheme="majorBidi"/>
          <w:i/>
          <w:iCs/>
          <w:sz w:val="20"/>
          <w:szCs w:val="20"/>
        </w:rPr>
        <w:t>Omnes</w:t>
      </w:r>
      <w:proofErr w:type="spellEnd"/>
      <w:r w:rsidRPr="00102CE6">
        <w:rPr>
          <w:rFonts w:asciiTheme="majorBidi" w:hAnsiTheme="majorBidi" w:cstheme="majorBidi"/>
          <w:sz w:val="20"/>
          <w:szCs w:val="20"/>
        </w:rPr>
        <w:t xml:space="preserve">, 59 </w:t>
      </w:r>
      <w:r w:rsidRPr="00102CE6">
        <w:rPr>
          <w:rFonts w:asciiTheme="majorBidi" w:hAnsiTheme="majorBidi" w:cstheme="majorBidi"/>
          <w:smallCaps/>
          <w:sz w:val="20"/>
          <w:szCs w:val="20"/>
        </w:rPr>
        <w:t>L. and Contemp</w:t>
      </w:r>
      <w:r>
        <w:rPr>
          <w:rFonts w:asciiTheme="majorBidi" w:hAnsiTheme="majorBidi" w:cstheme="majorBidi"/>
          <w:smallCaps/>
          <w:sz w:val="20"/>
          <w:szCs w:val="20"/>
        </w:rPr>
        <w:t>.</w:t>
      </w:r>
      <w:r w:rsidRPr="00102CE6">
        <w:rPr>
          <w:rFonts w:asciiTheme="majorBidi" w:hAnsiTheme="majorBidi" w:cstheme="majorBidi"/>
          <w:smallCaps/>
          <w:sz w:val="20"/>
          <w:szCs w:val="20"/>
        </w:rPr>
        <w:t xml:space="preserve"> Probs</w:t>
      </w:r>
      <w:r>
        <w:rPr>
          <w:rFonts w:asciiTheme="majorBidi" w:hAnsiTheme="majorBidi" w:cstheme="majorBidi"/>
          <w:smallCaps/>
          <w:sz w:val="20"/>
          <w:szCs w:val="20"/>
        </w:rPr>
        <w:t>.</w:t>
      </w:r>
      <w:r w:rsidRPr="00102CE6">
        <w:rPr>
          <w:rFonts w:asciiTheme="majorBidi" w:hAnsiTheme="majorBidi" w:cstheme="majorBidi"/>
          <w:sz w:val="20"/>
          <w:szCs w:val="20"/>
        </w:rPr>
        <w:t xml:space="preserve"> 63 (1996). </w:t>
      </w:r>
    </w:p>
  </w:footnote>
  <w:footnote w:id="67">
    <w:p w14:paraId="5B91B609" w14:textId="51451F52" w:rsidR="00802DBC" w:rsidRPr="00102CE6" w:rsidRDefault="00802DBC" w:rsidP="003E6AD5">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102CE6">
        <w:rPr>
          <w:rFonts w:asciiTheme="majorBidi" w:hAnsiTheme="majorBidi" w:cstheme="majorBidi"/>
          <w:smallCaps/>
          <w:sz w:val="20"/>
          <w:szCs w:val="20"/>
        </w:rPr>
        <w:t xml:space="preserve">Beth Van Schaack &amp; Ronald C. </w:t>
      </w:r>
      <w:proofErr w:type="spellStart"/>
      <w:r w:rsidRPr="00102CE6">
        <w:rPr>
          <w:rFonts w:asciiTheme="majorBidi" w:hAnsiTheme="majorBidi" w:cstheme="majorBidi"/>
          <w:smallCaps/>
          <w:sz w:val="20"/>
          <w:szCs w:val="20"/>
        </w:rPr>
        <w:t>Slye</w:t>
      </w:r>
      <w:proofErr w:type="spellEnd"/>
      <w:r w:rsidRPr="00102CE6">
        <w:rPr>
          <w:rFonts w:asciiTheme="majorBidi" w:hAnsiTheme="majorBidi" w:cstheme="majorBidi"/>
          <w:smallCaps/>
          <w:sz w:val="20"/>
          <w:szCs w:val="20"/>
        </w:rPr>
        <w:t>, International Criminal Law and its Enforcement</w:t>
      </w:r>
      <w:r w:rsidR="00F4531E">
        <w:rPr>
          <w:rFonts w:asciiTheme="majorBidi" w:hAnsiTheme="majorBidi" w:cstheme="majorBidi"/>
          <w:smallCaps/>
          <w:sz w:val="20"/>
          <w:szCs w:val="20"/>
        </w:rPr>
        <w:t xml:space="preserve"> 13</w:t>
      </w:r>
      <w:r w:rsidR="00F4531E">
        <w:rPr>
          <w:rFonts w:ascii="Times New Roman" w:hAnsi="Times New Roman" w:cs="Times New Roman"/>
          <w:smallCaps/>
          <w:sz w:val="20"/>
          <w:szCs w:val="20"/>
        </w:rPr>
        <w:t>–</w:t>
      </w:r>
      <w:r>
        <w:rPr>
          <w:rFonts w:asciiTheme="majorBidi" w:hAnsiTheme="majorBidi" w:cstheme="majorBidi"/>
          <w:smallCaps/>
          <w:sz w:val="20"/>
          <w:szCs w:val="20"/>
        </w:rPr>
        <w:t>21</w:t>
      </w:r>
      <w:r w:rsidRPr="00102CE6">
        <w:rPr>
          <w:rFonts w:asciiTheme="majorBidi" w:hAnsiTheme="majorBidi" w:cstheme="majorBidi"/>
          <w:sz w:val="20"/>
          <w:szCs w:val="20"/>
        </w:rPr>
        <w:t>(3</w:t>
      </w:r>
      <w:r w:rsidR="00F4531E">
        <w:rPr>
          <w:rFonts w:asciiTheme="majorBidi" w:hAnsiTheme="majorBidi" w:cstheme="majorBidi"/>
          <w:sz w:val="20"/>
          <w:szCs w:val="20"/>
        </w:rPr>
        <w:t>d ed.</w:t>
      </w:r>
      <w:r w:rsidRPr="00102CE6">
        <w:rPr>
          <w:rFonts w:asciiTheme="majorBidi" w:hAnsiTheme="majorBidi" w:cstheme="majorBidi"/>
          <w:sz w:val="20"/>
          <w:szCs w:val="20"/>
        </w:rPr>
        <w:t xml:space="preserve"> 2014). </w:t>
      </w:r>
    </w:p>
  </w:footnote>
  <w:footnote w:id="68">
    <w:p w14:paraId="33FA71BF" w14:textId="6458CCC5" w:rsidR="00802DBC" w:rsidRPr="00CA2399" w:rsidRDefault="00802DBC" w:rsidP="003E6AD5">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EF740A">
        <w:rPr>
          <w:rFonts w:asciiTheme="majorBidi" w:hAnsiTheme="majorBidi" w:cstheme="majorBidi"/>
          <w:i/>
          <w:iCs/>
          <w:sz w:val="20"/>
          <w:szCs w:val="20"/>
        </w:rPr>
        <w:t>Id</w:t>
      </w:r>
      <w:r w:rsidRPr="00EF740A">
        <w:rPr>
          <w:rFonts w:asciiTheme="majorBidi" w:hAnsiTheme="majorBidi" w:cstheme="majorBidi"/>
          <w:sz w:val="20"/>
          <w:szCs w:val="20"/>
        </w:rPr>
        <w:t xml:space="preserve">. </w:t>
      </w:r>
    </w:p>
  </w:footnote>
  <w:footnote w:id="69">
    <w:p w14:paraId="2A724905" w14:textId="5E198D9C" w:rsidR="00802DBC" w:rsidRPr="00CA2399" w:rsidRDefault="00802DBC" w:rsidP="003E6AD5">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Pr>
          <w:rFonts w:ascii="Times New Roman" w:hAnsi="Times New Roman" w:cs="Times New Roman"/>
          <w:sz w:val="20"/>
          <w:szCs w:val="20"/>
        </w:rPr>
        <w:t>T</w:t>
      </w:r>
      <w:r w:rsidRPr="00EF740A">
        <w:rPr>
          <w:rFonts w:ascii="Times New Roman" w:hAnsi="Times New Roman" w:cs="Times New Roman"/>
          <w:sz w:val="20"/>
          <w:szCs w:val="20"/>
        </w:rPr>
        <w:t xml:space="preserve">he states parties to the Rome Statute </w:t>
      </w:r>
      <w:r>
        <w:rPr>
          <w:rFonts w:ascii="Times New Roman" w:hAnsi="Times New Roman" w:cs="Times New Roman"/>
          <w:sz w:val="20"/>
          <w:szCs w:val="20"/>
        </w:rPr>
        <w:t xml:space="preserve">participate in </w:t>
      </w:r>
      <w:r w:rsidRPr="00EF740A">
        <w:rPr>
          <w:rFonts w:ascii="Times New Roman" w:hAnsi="Times New Roman" w:cs="Times New Roman"/>
          <w:sz w:val="20"/>
          <w:szCs w:val="20"/>
        </w:rPr>
        <w:t>the Assembly of States Parties, th</w:t>
      </w:r>
      <w:r w:rsidRPr="00CA2399">
        <w:rPr>
          <w:rFonts w:ascii="Times New Roman" w:hAnsi="Times New Roman" w:cs="Times New Roman"/>
          <w:sz w:val="20"/>
          <w:szCs w:val="20"/>
        </w:rPr>
        <w:t>e managing body of the ICC</w:t>
      </w:r>
      <w:r w:rsidR="007557EB">
        <w:rPr>
          <w:rFonts w:ascii="Times New Roman" w:hAnsi="Times New Roman" w:cs="Times New Roman"/>
          <w:sz w:val="20"/>
          <w:szCs w:val="20"/>
        </w:rPr>
        <w:t>.</w:t>
      </w:r>
      <w:r w:rsidR="007557EB">
        <w:rPr>
          <w:rFonts w:ascii="Times New Roman" w:hAnsi="Times New Roman" w:cs="Times New Roman"/>
          <w:i/>
          <w:iCs/>
          <w:sz w:val="20"/>
          <w:szCs w:val="20"/>
        </w:rPr>
        <w:t xml:space="preserve">  S</w:t>
      </w:r>
      <w:r w:rsidRPr="009C5261">
        <w:rPr>
          <w:rFonts w:ascii="Times New Roman" w:hAnsi="Times New Roman" w:cs="Times New Roman"/>
          <w:i/>
          <w:iCs/>
          <w:sz w:val="20"/>
          <w:szCs w:val="20"/>
        </w:rPr>
        <w:t>ee</w:t>
      </w:r>
      <w:r>
        <w:rPr>
          <w:rFonts w:ascii="Times New Roman" w:hAnsi="Times New Roman" w:cs="Times New Roman"/>
          <w:sz w:val="20"/>
          <w:szCs w:val="20"/>
        </w:rPr>
        <w:t xml:space="preserve"> Rome Statute, </w:t>
      </w:r>
      <w:r w:rsidRPr="00DF7981">
        <w:rPr>
          <w:rFonts w:ascii="Times New Roman" w:hAnsi="Times New Roman" w:cs="Times New Roman"/>
          <w:i/>
          <w:sz w:val="20"/>
          <w:szCs w:val="20"/>
        </w:rPr>
        <w:t>supra</w:t>
      </w:r>
      <w:r>
        <w:rPr>
          <w:rFonts w:ascii="Times New Roman" w:hAnsi="Times New Roman" w:cs="Times New Roman"/>
          <w:sz w:val="20"/>
          <w:szCs w:val="20"/>
        </w:rPr>
        <w:t xml:space="preserve"> note 3.</w:t>
      </w:r>
    </w:p>
  </w:footnote>
  <w:footnote w:id="70">
    <w:p w14:paraId="2D9D3B99" w14:textId="6E3A3452" w:rsidR="00802DBC" w:rsidRPr="00102CE6" w:rsidRDefault="00802DBC" w:rsidP="0043061D">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Rome Statute, </w:t>
      </w:r>
      <w:r w:rsidRPr="00EF740A">
        <w:rPr>
          <w:rFonts w:ascii="Times New Roman" w:hAnsi="Times New Roman" w:cs="Times New Roman"/>
          <w:i/>
          <w:iCs/>
          <w:sz w:val="20"/>
          <w:szCs w:val="20"/>
        </w:rPr>
        <w:t>supra</w:t>
      </w:r>
      <w:r>
        <w:rPr>
          <w:rFonts w:ascii="Times New Roman" w:hAnsi="Times New Roman" w:cs="Times New Roman"/>
          <w:sz w:val="20"/>
          <w:szCs w:val="20"/>
        </w:rPr>
        <w:t xml:space="preserve"> note 3</w:t>
      </w:r>
      <w:r w:rsidRPr="00CA2399">
        <w:rPr>
          <w:rFonts w:ascii="Times New Roman" w:hAnsi="Times New Roman" w:cs="Times New Roman"/>
          <w:sz w:val="20"/>
          <w:szCs w:val="20"/>
        </w:rPr>
        <w:t>.</w:t>
      </w:r>
    </w:p>
  </w:footnote>
  <w:footnote w:id="71">
    <w:p w14:paraId="095E6DB9" w14:textId="4EC9E280" w:rsidR="00802DBC" w:rsidRPr="00102CE6" w:rsidRDefault="00802DBC">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William A. Schabas, </w:t>
      </w:r>
      <w:r w:rsidRPr="00EF740A">
        <w:rPr>
          <w:rFonts w:ascii="Times New Roman" w:hAnsi="Times New Roman" w:cs="Times New Roman"/>
          <w:bCs/>
          <w:i/>
          <w:sz w:val="20"/>
          <w:szCs w:val="20"/>
        </w:rPr>
        <w:t>United States Hostility to the International Criminal Court: It’s All About the Security Council</w:t>
      </w:r>
      <w:r w:rsidRPr="00445C4C">
        <w:rPr>
          <w:rFonts w:ascii="Times New Roman" w:hAnsi="Times New Roman" w:cs="Times New Roman"/>
          <w:bCs/>
          <w:sz w:val="20"/>
          <w:szCs w:val="20"/>
        </w:rPr>
        <w:t>,</w:t>
      </w:r>
      <w:r w:rsidRPr="00CA2399">
        <w:rPr>
          <w:rFonts w:ascii="Times New Roman" w:hAnsi="Times New Roman" w:cs="Times New Roman"/>
          <w:b/>
          <w:bCs/>
          <w:sz w:val="20"/>
          <w:szCs w:val="20"/>
        </w:rPr>
        <w:t xml:space="preserve"> </w:t>
      </w:r>
      <w:r w:rsidRPr="00102CE6">
        <w:rPr>
          <w:rFonts w:ascii="Times New Roman" w:hAnsi="Times New Roman" w:cs="Times New Roman"/>
          <w:smallCaps/>
          <w:sz w:val="20"/>
          <w:szCs w:val="20"/>
        </w:rPr>
        <w:t xml:space="preserve">15 Eur. J Int. Law </w:t>
      </w:r>
      <w:r w:rsidRPr="00102CE6">
        <w:rPr>
          <w:rFonts w:ascii="Times New Roman" w:hAnsi="Times New Roman" w:cs="Times New Roman"/>
          <w:sz w:val="20"/>
          <w:szCs w:val="20"/>
        </w:rPr>
        <w:t xml:space="preserve">701, 706 (2004); </w:t>
      </w:r>
      <w:r w:rsidRPr="00102CE6">
        <w:rPr>
          <w:rFonts w:asciiTheme="majorBidi" w:hAnsiTheme="majorBidi" w:cstheme="majorBidi"/>
          <w:smallCaps/>
          <w:sz w:val="20"/>
          <w:szCs w:val="20"/>
        </w:rPr>
        <w:t xml:space="preserve">Van </w:t>
      </w:r>
      <w:proofErr w:type="spellStart"/>
      <w:r w:rsidRPr="00102CE6">
        <w:rPr>
          <w:rFonts w:asciiTheme="majorBidi" w:hAnsiTheme="majorBidi" w:cstheme="majorBidi"/>
          <w:smallCaps/>
          <w:sz w:val="20"/>
          <w:szCs w:val="20"/>
        </w:rPr>
        <w:t>Schaack</w:t>
      </w:r>
      <w:proofErr w:type="spellEnd"/>
      <w:r w:rsidRPr="00102CE6">
        <w:rPr>
          <w:rFonts w:asciiTheme="majorBidi" w:hAnsiTheme="majorBidi" w:cstheme="majorBidi"/>
          <w:smallCaps/>
          <w:sz w:val="20"/>
          <w:szCs w:val="20"/>
        </w:rPr>
        <w:t xml:space="preserve"> &amp; </w:t>
      </w:r>
      <w:proofErr w:type="spellStart"/>
      <w:r w:rsidRPr="00102CE6">
        <w:rPr>
          <w:rFonts w:asciiTheme="majorBidi" w:hAnsiTheme="majorBidi" w:cstheme="majorBidi"/>
          <w:smallCaps/>
          <w:sz w:val="20"/>
          <w:szCs w:val="20"/>
        </w:rPr>
        <w:t>Slye</w:t>
      </w:r>
      <w:proofErr w:type="spellEnd"/>
      <w:r w:rsidRPr="00102CE6">
        <w:rPr>
          <w:rFonts w:asciiTheme="majorBidi" w:hAnsiTheme="majorBidi" w:cstheme="majorBidi"/>
          <w:smallCaps/>
          <w:sz w:val="20"/>
          <w:szCs w:val="20"/>
        </w:rPr>
        <w:t xml:space="preserve">, </w:t>
      </w:r>
      <w:r w:rsidRPr="00102CE6">
        <w:rPr>
          <w:rFonts w:asciiTheme="majorBidi" w:hAnsiTheme="majorBidi" w:cstheme="majorBidi"/>
          <w:i/>
          <w:iCs/>
          <w:sz w:val="20"/>
          <w:szCs w:val="20"/>
        </w:rPr>
        <w:t xml:space="preserve">supra </w:t>
      </w:r>
      <w:r>
        <w:rPr>
          <w:rFonts w:asciiTheme="majorBidi" w:hAnsiTheme="majorBidi" w:cstheme="majorBidi"/>
          <w:sz w:val="20"/>
          <w:szCs w:val="20"/>
        </w:rPr>
        <w:t>note 66</w:t>
      </w:r>
      <w:r w:rsidRPr="00102CE6">
        <w:rPr>
          <w:rFonts w:asciiTheme="majorBidi" w:hAnsiTheme="majorBidi" w:cstheme="majorBidi"/>
          <w:sz w:val="20"/>
          <w:szCs w:val="20"/>
        </w:rPr>
        <w:t xml:space="preserve"> at 17</w:t>
      </w:r>
      <w:r>
        <w:rPr>
          <w:rFonts w:asciiTheme="majorBidi" w:hAnsiTheme="majorBidi" w:cstheme="majorBidi"/>
          <w:sz w:val="20"/>
          <w:szCs w:val="20"/>
        </w:rPr>
        <w:t>–</w:t>
      </w:r>
      <w:r w:rsidRPr="00102CE6">
        <w:rPr>
          <w:rFonts w:asciiTheme="majorBidi" w:hAnsiTheme="majorBidi" w:cstheme="majorBidi"/>
          <w:sz w:val="20"/>
          <w:szCs w:val="20"/>
        </w:rPr>
        <w:t>21.</w:t>
      </w:r>
    </w:p>
  </w:footnote>
  <w:footnote w:id="72">
    <w:p w14:paraId="723FB210" w14:textId="155A7FF4" w:rsidR="00802DBC" w:rsidRPr="00EF740A" w:rsidRDefault="00802DBC" w:rsidP="006A4C6C">
      <w:pPr>
        <w:pStyle w:val="FootnoteText"/>
        <w:ind w:firstLine="144"/>
        <w:jc w:val="both"/>
        <w:rPr>
          <w:rFonts w:asciiTheme="majorBidi" w:hAnsiTheme="majorBidi" w:cstheme="majorBidi"/>
          <w:i/>
          <w:iCs/>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102CE6">
        <w:rPr>
          <w:rFonts w:asciiTheme="majorBidi" w:hAnsiTheme="majorBidi" w:cstheme="majorBidi"/>
          <w:smallCaps/>
          <w:sz w:val="20"/>
          <w:szCs w:val="20"/>
        </w:rPr>
        <w:t xml:space="preserve">Van </w:t>
      </w:r>
      <w:proofErr w:type="spellStart"/>
      <w:r w:rsidRPr="00102CE6">
        <w:rPr>
          <w:rFonts w:asciiTheme="majorBidi" w:hAnsiTheme="majorBidi" w:cstheme="majorBidi"/>
          <w:smallCaps/>
          <w:sz w:val="20"/>
          <w:szCs w:val="20"/>
        </w:rPr>
        <w:t>Schaack</w:t>
      </w:r>
      <w:proofErr w:type="spellEnd"/>
      <w:r w:rsidRPr="00102CE6">
        <w:rPr>
          <w:rFonts w:asciiTheme="majorBidi" w:hAnsiTheme="majorBidi" w:cstheme="majorBidi"/>
          <w:smallCaps/>
          <w:sz w:val="20"/>
          <w:szCs w:val="20"/>
        </w:rPr>
        <w:t xml:space="preserve"> &amp; </w:t>
      </w:r>
      <w:proofErr w:type="spellStart"/>
      <w:r w:rsidRPr="00102CE6">
        <w:rPr>
          <w:rFonts w:asciiTheme="majorBidi" w:hAnsiTheme="majorBidi" w:cstheme="majorBidi"/>
          <w:smallCaps/>
          <w:sz w:val="20"/>
          <w:szCs w:val="20"/>
        </w:rPr>
        <w:t>Slye</w:t>
      </w:r>
      <w:proofErr w:type="spellEnd"/>
      <w:r w:rsidRPr="00102CE6">
        <w:rPr>
          <w:rFonts w:asciiTheme="majorBidi" w:hAnsiTheme="majorBidi" w:cstheme="majorBidi"/>
          <w:smallCaps/>
          <w:sz w:val="20"/>
          <w:szCs w:val="20"/>
        </w:rPr>
        <w:t xml:space="preserve">, </w:t>
      </w:r>
      <w:r w:rsidRPr="00102CE6">
        <w:rPr>
          <w:rFonts w:asciiTheme="majorBidi" w:hAnsiTheme="majorBidi" w:cstheme="majorBidi"/>
          <w:i/>
          <w:iCs/>
          <w:sz w:val="20"/>
          <w:szCs w:val="20"/>
        </w:rPr>
        <w:t xml:space="preserve">supra </w:t>
      </w:r>
      <w:r>
        <w:rPr>
          <w:rFonts w:asciiTheme="majorBidi" w:hAnsiTheme="majorBidi" w:cstheme="majorBidi"/>
          <w:sz w:val="20"/>
          <w:szCs w:val="20"/>
        </w:rPr>
        <w:t>note 66</w:t>
      </w:r>
      <w:r w:rsidR="007557EB">
        <w:rPr>
          <w:rFonts w:asciiTheme="majorBidi" w:hAnsiTheme="majorBidi" w:cstheme="majorBidi"/>
          <w:sz w:val="20"/>
          <w:szCs w:val="20"/>
        </w:rPr>
        <w:t>,</w:t>
      </w:r>
      <w:r>
        <w:rPr>
          <w:rFonts w:asciiTheme="majorBidi" w:hAnsiTheme="majorBidi" w:cstheme="majorBidi"/>
          <w:sz w:val="20"/>
          <w:szCs w:val="20"/>
        </w:rPr>
        <w:t xml:space="preserve"> at </w:t>
      </w:r>
      <w:r w:rsidRPr="00102CE6">
        <w:rPr>
          <w:rFonts w:asciiTheme="majorBidi" w:hAnsiTheme="majorBidi" w:cstheme="majorBidi"/>
          <w:sz w:val="20"/>
          <w:szCs w:val="20"/>
        </w:rPr>
        <w:t>17</w:t>
      </w:r>
      <w:r>
        <w:rPr>
          <w:rFonts w:asciiTheme="majorBidi" w:hAnsiTheme="majorBidi" w:cstheme="majorBidi"/>
          <w:sz w:val="20"/>
          <w:szCs w:val="20"/>
        </w:rPr>
        <w:t>–</w:t>
      </w:r>
      <w:r w:rsidRPr="00102CE6">
        <w:rPr>
          <w:rFonts w:asciiTheme="majorBidi" w:hAnsiTheme="majorBidi" w:cstheme="majorBidi"/>
          <w:sz w:val="20"/>
          <w:szCs w:val="20"/>
        </w:rPr>
        <w:t>21</w:t>
      </w:r>
      <w:r w:rsidRPr="00102CE6">
        <w:rPr>
          <w:rFonts w:asciiTheme="majorBidi" w:hAnsiTheme="majorBidi" w:cstheme="majorBidi"/>
          <w:i/>
          <w:iCs/>
          <w:sz w:val="20"/>
          <w:szCs w:val="20"/>
        </w:rPr>
        <w:t>.</w:t>
      </w:r>
    </w:p>
  </w:footnote>
  <w:footnote w:id="73">
    <w:p w14:paraId="23E627A1" w14:textId="6E95A6A0" w:rsidR="00802DBC" w:rsidRPr="00DF383F" w:rsidRDefault="00802DBC">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EF740A">
        <w:rPr>
          <w:rFonts w:asciiTheme="majorBidi" w:hAnsiTheme="majorBidi" w:cstheme="majorBidi"/>
          <w:i/>
          <w:iCs/>
          <w:sz w:val="20"/>
          <w:szCs w:val="20"/>
        </w:rPr>
        <w:t>See</w:t>
      </w:r>
      <w:r w:rsidRPr="00EF740A">
        <w:rPr>
          <w:rFonts w:asciiTheme="majorBidi" w:hAnsiTheme="majorBidi" w:cstheme="majorBidi"/>
          <w:sz w:val="20"/>
          <w:szCs w:val="20"/>
        </w:rPr>
        <w:t xml:space="preserve">, </w:t>
      </w:r>
      <w:r w:rsidRPr="00CA2399">
        <w:rPr>
          <w:rFonts w:asciiTheme="majorBidi" w:hAnsiTheme="majorBidi" w:cstheme="majorBidi"/>
          <w:i/>
          <w:iCs/>
          <w:sz w:val="20"/>
          <w:szCs w:val="20"/>
        </w:rPr>
        <w:t>infra</w:t>
      </w:r>
      <w:r w:rsidRPr="00EF740A">
        <w:rPr>
          <w:rFonts w:asciiTheme="majorBidi" w:hAnsiTheme="majorBidi" w:cstheme="majorBidi"/>
          <w:sz w:val="20"/>
          <w:szCs w:val="20"/>
        </w:rPr>
        <w:t xml:space="preserve"> Section III (A)</w:t>
      </w:r>
      <w:r w:rsidRPr="00DF383F">
        <w:rPr>
          <w:rFonts w:asciiTheme="majorBidi" w:hAnsiTheme="majorBidi" w:cstheme="majorBidi"/>
          <w:sz w:val="20"/>
          <w:szCs w:val="20"/>
        </w:rPr>
        <w:t xml:space="preserve">. </w:t>
      </w:r>
    </w:p>
  </w:footnote>
  <w:footnote w:id="74">
    <w:p w14:paraId="7E05DF3D" w14:textId="7E262841" w:rsidR="00802DBC" w:rsidRPr="00102CE6" w:rsidRDefault="00802DBC" w:rsidP="00CE38AF">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This discretion is called </w:t>
      </w:r>
      <w:proofErr w:type="spellStart"/>
      <w:r w:rsidRPr="00EF740A">
        <w:rPr>
          <w:rFonts w:asciiTheme="majorBidi" w:hAnsiTheme="majorBidi" w:cstheme="majorBidi"/>
          <w:i/>
          <w:iCs/>
          <w:sz w:val="20"/>
          <w:szCs w:val="20"/>
        </w:rPr>
        <w:t>propiro</w:t>
      </w:r>
      <w:proofErr w:type="spellEnd"/>
      <w:r w:rsidRPr="00EF740A">
        <w:rPr>
          <w:rFonts w:asciiTheme="majorBidi" w:hAnsiTheme="majorBidi" w:cstheme="majorBidi"/>
          <w:i/>
          <w:iCs/>
          <w:sz w:val="20"/>
          <w:szCs w:val="20"/>
        </w:rPr>
        <w:t xml:space="preserve"> </w:t>
      </w:r>
      <w:proofErr w:type="spellStart"/>
      <w:r w:rsidRPr="00CA2399">
        <w:rPr>
          <w:rFonts w:asciiTheme="majorBidi" w:hAnsiTheme="majorBidi" w:cstheme="majorBidi"/>
          <w:i/>
          <w:iCs/>
          <w:sz w:val="20"/>
          <w:szCs w:val="20"/>
        </w:rPr>
        <w:t>motu</w:t>
      </w:r>
      <w:proofErr w:type="spellEnd"/>
      <w:r w:rsidRPr="00DF383F">
        <w:rPr>
          <w:rFonts w:asciiTheme="majorBidi" w:hAnsiTheme="majorBidi" w:cstheme="majorBidi"/>
          <w:sz w:val="20"/>
          <w:szCs w:val="20"/>
        </w:rPr>
        <w:t>, and can be used to initiate investigations and subsequent prosecutions in stat</w:t>
      </w:r>
      <w:r w:rsidRPr="007B2ECC">
        <w:rPr>
          <w:rFonts w:asciiTheme="majorBidi" w:hAnsiTheme="majorBidi" w:cstheme="majorBidi"/>
          <w:sz w:val="20"/>
          <w:szCs w:val="20"/>
        </w:rPr>
        <w:t xml:space="preserve">es that did not self-refer or were not referred by the Security Council. </w:t>
      </w:r>
      <w:proofErr w:type="spellStart"/>
      <w:r w:rsidRPr="007B2ECC">
        <w:rPr>
          <w:rFonts w:asciiTheme="majorBidi" w:hAnsiTheme="majorBidi" w:cstheme="majorBidi"/>
          <w:sz w:val="20"/>
          <w:szCs w:val="20"/>
        </w:rPr>
        <w:t>Amboko</w:t>
      </w:r>
      <w:proofErr w:type="spellEnd"/>
      <w:r w:rsidRPr="007B2ECC">
        <w:rPr>
          <w:rFonts w:asciiTheme="majorBidi" w:hAnsiTheme="majorBidi" w:cstheme="majorBidi"/>
          <w:sz w:val="20"/>
          <w:szCs w:val="20"/>
        </w:rPr>
        <w:t xml:space="preserve"> </w:t>
      </w:r>
      <w:proofErr w:type="spellStart"/>
      <w:r w:rsidRPr="007B2ECC">
        <w:rPr>
          <w:rFonts w:asciiTheme="majorBidi" w:hAnsiTheme="majorBidi" w:cstheme="majorBidi"/>
          <w:sz w:val="20"/>
          <w:szCs w:val="20"/>
        </w:rPr>
        <w:t>Wameyo</w:t>
      </w:r>
      <w:proofErr w:type="spellEnd"/>
      <w:r w:rsidRPr="007B2ECC">
        <w:rPr>
          <w:rFonts w:asciiTheme="majorBidi" w:hAnsiTheme="majorBidi" w:cstheme="majorBidi"/>
          <w:sz w:val="20"/>
          <w:szCs w:val="20"/>
        </w:rPr>
        <w:t xml:space="preserve">, </w:t>
      </w:r>
      <w:r w:rsidRPr="007B2ECC">
        <w:rPr>
          <w:rFonts w:asciiTheme="majorBidi" w:hAnsiTheme="majorBidi" w:cstheme="majorBidi"/>
          <w:i/>
          <w:iCs/>
          <w:sz w:val="20"/>
          <w:szCs w:val="20"/>
        </w:rPr>
        <w:t>Transitional Justice, A Two-Prong Approach: Reconciliation and Criminal Responsibility for Kenya Post 2007 Elections Violence</w:t>
      </w:r>
      <w:r w:rsidRPr="00102CE6">
        <w:rPr>
          <w:rFonts w:asciiTheme="majorBidi" w:hAnsiTheme="majorBidi" w:cstheme="majorBidi"/>
          <w:sz w:val="20"/>
          <w:szCs w:val="20"/>
        </w:rPr>
        <w:t>,</w:t>
      </w:r>
      <w:r w:rsidRPr="00102CE6">
        <w:rPr>
          <w:rFonts w:asciiTheme="majorBidi" w:hAnsiTheme="majorBidi" w:cstheme="majorBidi"/>
          <w:i/>
          <w:iCs/>
          <w:sz w:val="20"/>
          <w:szCs w:val="20"/>
        </w:rPr>
        <w:t xml:space="preserve"> </w:t>
      </w:r>
      <w:r w:rsidRPr="00102CE6">
        <w:rPr>
          <w:rFonts w:asciiTheme="majorBidi" w:hAnsiTheme="majorBidi" w:cstheme="majorBidi"/>
          <w:smallCaps/>
          <w:sz w:val="20"/>
          <w:szCs w:val="20"/>
        </w:rPr>
        <w:t>17 S. Afr. Y.B. Int’l L.</w:t>
      </w:r>
      <w:r w:rsidRPr="00102CE6">
        <w:rPr>
          <w:rFonts w:asciiTheme="majorBidi" w:hAnsiTheme="majorBidi" w:cstheme="majorBidi"/>
          <w:sz w:val="20"/>
          <w:szCs w:val="20"/>
        </w:rPr>
        <w:t xml:space="preserve"> 411, 432 (2009).</w:t>
      </w:r>
    </w:p>
  </w:footnote>
  <w:footnote w:id="75">
    <w:p w14:paraId="50ECCDF7" w14:textId="6D17B7E5" w:rsidR="00802DBC" w:rsidRPr="00EF740A" w:rsidRDefault="00802DBC" w:rsidP="00F64583">
      <w:pPr>
        <w:pStyle w:val="FootnoteText"/>
        <w:ind w:firstLine="144"/>
        <w:jc w:val="both"/>
        <w:rPr>
          <w:rFonts w:asciiTheme="majorBidi" w:hAnsiTheme="majorBidi" w:cstheme="majorBidi"/>
          <w:i/>
          <w:iCs/>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EF740A">
        <w:rPr>
          <w:rFonts w:asciiTheme="majorBidi" w:hAnsiTheme="majorBidi" w:cstheme="majorBidi"/>
          <w:i/>
          <w:iCs/>
          <w:sz w:val="20"/>
          <w:szCs w:val="20"/>
        </w:rPr>
        <w:t>Id.</w:t>
      </w:r>
    </w:p>
  </w:footnote>
  <w:footnote w:id="76">
    <w:p w14:paraId="77FE74B2" w14:textId="3FF7E663" w:rsidR="00802DBC" w:rsidRPr="00102CE6" w:rsidRDefault="00802DBC" w:rsidP="002A2EEC">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102CE6">
        <w:rPr>
          <w:rFonts w:asciiTheme="majorBidi" w:hAnsiTheme="majorBidi" w:cstheme="majorBidi"/>
          <w:i/>
          <w:iCs/>
          <w:sz w:val="20"/>
          <w:szCs w:val="20"/>
        </w:rPr>
        <w:t>See generally</w:t>
      </w:r>
      <w:r w:rsidRPr="00102CE6">
        <w:rPr>
          <w:rFonts w:asciiTheme="majorBidi" w:hAnsiTheme="majorBidi" w:cstheme="majorBidi"/>
          <w:sz w:val="20"/>
          <w:szCs w:val="20"/>
        </w:rPr>
        <w:t xml:space="preserve"> Fredric L. Kirgis, </w:t>
      </w:r>
      <w:r w:rsidRPr="00102CE6">
        <w:rPr>
          <w:rFonts w:asciiTheme="majorBidi" w:hAnsiTheme="majorBidi" w:cstheme="majorBidi"/>
          <w:i/>
          <w:iCs/>
          <w:sz w:val="20"/>
          <w:szCs w:val="20"/>
        </w:rPr>
        <w:t>Enforcing International Law</w:t>
      </w:r>
      <w:r w:rsidRPr="00E205E7">
        <w:rPr>
          <w:rFonts w:asciiTheme="majorBidi" w:hAnsiTheme="majorBidi" w:cstheme="majorBidi"/>
          <w:iCs/>
          <w:sz w:val="20"/>
          <w:szCs w:val="20"/>
        </w:rPr>
        <w:t>,</w:t>
      </w:r>
      <w:r w:rsidRPr="00102CE6">
        <w:rPr>
          <w:rFonts w:asciiTheme="majorBidi" w:hAnsiTheme="majorBidi" w:cstheme="majorBidi"/>
          <w:sz w:val="20"/>
          <w:szCs w:val="20"/>
        </w:rPr>
        <w:t xml:space="preserve"> </w:t>
      </w:r>
      <w:r w:rsidRPr="00102CE6">
        <w:rPr>
          <w:rFonts w:asciiTheme="majorBidi" w:hAnsiTheme="majorBidi" w:cstheme="majorBidi"/>
          <w:smallCaps/>
          <w:sz w:val="20"/>
          <w:szCs w:val="20"/>
        </w:rPr>
        <w:t>Am. Soc’y of Int’l L.</w:t>
      </w:r>
      <w:r w:rsidRPr="00102CE6">
        <w:rPr>
          <w:rFonts w:asciiTheme="majorBidi" w:hAnsiTheme="majorBidi" w:cstheme="majorBidi"/>
          <w:sz w:val="20"/>
          <w:szCs w:val="20"/>
        </w:rPr>
        <w:t xml:space="preserve"> (</w:t>
      </w:r>
      <w:r w:rsidRPr="000648E0">
        <w:rPr>
          <w:rFonts w:asciiTheme="majorBidi" w:hAnsiTheme="majorBidi" w:cstheme="majorBidi"/>
          <w:sz w:val="20"/>
          <w:szCs w:val="20"/>
        </w:rPr>
        <w:t xml:space="preserve">Jan. 22, 1996), </w:t>
      </w:r>
      <w:r w:rsidRPr="00445C4C">
        <w:rPr>
          <w:rFonts w:ascii="Times New Roman" w:hAnsi="Times New Roman" w:cs="Times New Roman"/>
        </w:rPr>
        <w:t>https://www.asil.org/insights/volume/1/issue/1/enforcing-international-law</w:t>
      </w:r>
      <w:r w:rsidRPr="00445C4C">
        <w:rPr>
          <w:rFonts w:ascii="Times New Roman" w:hAnsi="Times New Roman" w:cs="Times New Roman"/>
          <w:sz w:val="20"/>
          <w:szCs w:val="20"/>
        </w:rPr>
        <w:t>;</w:t>
      </w:r>
      <w:r w:rsidRPr="000648E0">
        <w:rPr>
          <w:rFonts w:asciiTheme="majorBidi" w:hAnsiTheme="majorBidi" w:cstheme="majorBidi"/>
          <w:sz w:val="20"/>
          <w:szCs w:val="20"/>
        </w:rPr>
        <w:t xml:space="preserve"> </w:t>
      </w:r>
      <w:r w:rsidRPr="000648E0">
        <w:rPr>
          <w:rFonts w:asciiTheme="majorBidi" w:hAnsiTheme="majorBidi" w:cstheme="majorBidi"/>
          <w:i/>
          <w:iCs/>
          <w:sz w:val="20"/>
          <w:szCs w:val="20"/>
        </w:rPr>
        <w:t xml:space="preserve">see also </w:t>
      </w:r>
      <w:r w:rsidRPr="000648E0">
        <w:rPr>
          <w:rFonts w:asciiTheme="majorBidi" w:hAnsiTheme="majorBidi" w:cstheme="majorBidi"/>
          <w:sz w:val="20"/>
          <w:szCs w:val="20"/>
        </w:rPr>
        <w:t>Douglas</w:t>
      </w:r>
      <w:r w:rsidRPr="00102CE6">
        <w:rPr>
          <w:rFonts w:asciiTheme="majorBidi" w:hAnsiTheme="majorBidi" w:cstheme="majorBidi"/>
          <w:sz w:val="20"/>
          <w:szCs w:val="20"/>
        </w:rPr>
        <w:t xml:space="preserve"> Donoho, </w:t>
      </w:r>
      <w:r w:rsidRPr="00102CE6">
        <w:rPr>
          <w:rFonts w:asciiTheme="majorBidi" w:hAnsiTheme="majorBidi" w:cstheme="majorBidi"/>
          <w:i/>
          <w:iCs/>
          <w:sz w:val="20"/>
          <w:szCs w:val="20"/>
        </w:rPr>
        <w:t>Human Rights Enforcement in the Twenty-First Century</w:t>
      </w:r>
      <w:r w:rsidRPr="00102CE6">
        <w:rPr>
          <w:rFonts w:asciiTheme="majorBidi" w:hAnsiTheme="majorBidi" w:cstheme="majorBidi"/>
          <w:sz w:val="20"/>
          <w:szCs w:val="20"/>
        </w:rPr>
        <w:t xml:space="preserve">, 35 </w:t>
      </w:r>
      <w:r w:rsidRPr="00102CE6">
        <w:rPr>
          <w:rFonts w:asciiTheme="majorBidi" w:hAnsiTheme="majorBidi" w:cstheme="majorBidi"/>
          <w:smallCaps/>
          <w:sz w:val="20"/>
          <w:szCs w:val="20"/>
        </w:rPr>
        <w:t xml:space="preserve">Ga. J. Int’l </w:t>
      </w:r>
      <w:r>
        <w:rPr>
          <w:rFonts w:asciiTheme="majorBidi" w:hAnsiTheme="majorBidi" w:cstheme="majorBidi"/>
          <w:smallCaps/>
          <w:sz w:val="20"/>
          <w:szCs w:val="20"/>
        </w:rPr>
        <w:t>&amp;</w:t>
      </w:r>
      <w:r w:rsidRPr="00102CE6">
        <w:rPr>
          <w:rFonts w:asciiTheme="majorBidi" w:hAnsiTheme="majorBidi" w:cstheme="majorBidi"/>
          <w:smallCaps/>
          <w:sz w:val="20"/>
          <w:szCs w:val="20"/>
        </w:rPr>
        <w:t xml:space="preserve"> Comp. L</w:t>
      </w:r>
      <w:r w:rsidRPr="00102CE6">
        <w:rPr>
          <w:rFonts w:asciiTheme="majorBidi" w:hAnsiTheme="majorBidi" w:cstheme="majorBidi"/>
          <w:sz w:val="20"/>
          <w:szCs w:val="20"/>
        </w:rPr>
        <w:t>. 1, 5 (2006).</w:t>
      </w:r>
    </w:p>
  </w:footnote>
  <w:footnote w:id="77">
    <w:p w14:paraId="701789B7" w14:textId="3220BEDD" w:rsidR="00802DBC" w:rsidRPr="00102CE6" w:rsidRDefault="00802DBC" w:rsidP="002E1B14">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The U.S. withdrew prior to invading Afghanistan in 2001 so that military actions there would not be subject to ICC jurisdiction. Interestingly, Russia withdrew immediately following the results of the 2016 U.S. Presidential Election, after the ICC issued a</w:t>
      </w:r>
      <w:r w:rsidRPr="00CA2399">
        <w:rPr>
          <w:rFonts w:asciiTheme="majorBidi" w:hAnsiTheme="majorBidi" w:cstheme="majorBidi"/>
          <w:sz w:val="20"/>
          <w:szCs w:val="20"/>
        </w:rPr>
        <w:t xml:space="preserve"> report called Russian annexation of Crimea an occupation, and after there were calls for investigating. </w:t>
      </w:r>
      <w:r>
        <w:rPr>
          <w:rFonts w:asciiTheme="majorBidi" w:hAnsiTheme="majorBidi" w:cstheme="majorBidi"/>
          <w:sz w:val="20"/>
          <w:szCs w:val="20"/>
        </w:rPr>
        <w:t xml:space="preserve"> </w:t>
      </w:r>
      <w:r w:rsidRPr="00CA2399">
        <w:rPr>
          <w:rFonts w:asciiTheme="majorBidi" w:hAnsiTheme="majorBidi" w:cstheme="majorBidi"/>
          <w:sz w:val="20"/>
          <w:szCs w:val="20"/>
        </w:rPr>
        <w:t>The exact reason for Russia’s withdrawal r</w:t>
      </w:r>
      <w:r w:rsidRPr="00DF383F">
        <w:rPr>
          <w:rFonts w:asciiTheme="majorBidi" w:hAnsiTheme="majorBidi" w:cstheme="majorBidi"/>
          <w:sz w:val="20"/>
          <w:szCs w:val="20"/>
        </w:rPr>
        <w:t xml:space="preserve">emains unclear. </w:t>
      </w:r>
      <w:r w:rsidRPr="00102CE6">
        <w:rPr>
          <w:rFonts w:asciiTheme="majorBidi" w:hAnsiTheme="majorBidi" w:cstheme="majorBidi"/>
          <w:i/>
          <w:iCs/>
          <w:sz w:val="20"/>
          <w:szCs w:val="20"/>
        </w:rPr>
        <w:t>US Opposition to the International Criminal Court</w:t>
      </w:r>
      <w:r w:rsidRPr="00102CE6">
        <w:rPr>
          <w:rFonts w:asciiTheme="majorBidi" w:hAnsiTheme="majorBidi" w:cstheme="majorBidi"/>
          <w:sz w:val="20"/>
          <w:szCs w:val="20"/>
        </w:rPr>
        <w:t xml:space="preserve">, </w:t>
      </w:r>
      <w:r w:rsidRPr="00102CE6">
        <w:rPr>
          <w:rFonts w:asciiTheme="majorBidi" w:hAnsiTheme="majorBidi" w:cstheme="majorBidi"/>
          <w:smallCaps/>
          <w:sz w:val="20"/>
          <w:szCs w:val="20"/>
        </w:rPr>
        <w:t>Glob</w:t>
      </w:r>
      <w:r>
        <w:rPr>
          <w:rFonts w:asciiTheme="majorBidi" w:hAnsiTheme="majorBidi" w:cstheme="majorBidi"/>
          <w:smallCaps/>
          <w:sz w:val="20"/>
          <w:szCs w:val="20"/>
        </w:rPr>
        <w:t>.</w:t>
      </w:r>
      <w:r w:rsidRPr="00102CE6">
        <w:rPr>
          <w:rFonts w:asciiTheme="majorBidi" w:hAnsiTheme="majorBidi" w:cstheme="majorBidi"/>
          <w:smallCaps/>
          <w:sz w:val="20"/>
          <w:szCs w:val="20"/>
        </w:rPr>
        <w:t xml:space="preserve"> </w:t>
      </w:r>
      <w:r>
        <w:rPr>
          <w:rFonts w:asciiTheme="majorBidi" w:hAnsiTheme="majorBidi" w:cstheme="majorBidi"/>
          <w:smallCaps/>
          <w:sz w:val="20"/>
          <w:szCs w:val="20"/>
        </w:rPr>
        <w:t>Policy Forum</w:t>
      </w:r>
      <w:r w:rsidRPr="00102CE6">
        <w:rPr>
          <w:rFonts w:asciiTheme="majorBidi" w:hAnsiTheme="majorBidi" w:cstheme="majorBidi"/>
          <w:sz w:val="20"/>
          <w:szCs w:val="20"/>
        </w:rPr>
        <w:t>, https://www.globalpolicy.org/us-un-and-international-law-8-24/us-opposition-to-t</w:t>
      </w:r>
      <w:r>
        <w:rPr>
          <w:rFonts w:asciiTheme="majorBidi" w:hAnsiTheme="majorBidi" w:cstheme="majorBidi"/>
          <w:sz w:val="20"/>
          <w:szCs w:val="20"/>
        </w:rPr>
        <w:t>he-icc-8-29.html (last visited Oct. 10 2016</w:t>
      </w:r>
      <w:r w:rsidRPr="00102CE6">
        <w:rPr>
          <w:rFonts w:asciiTheme="majorBidi" w:hAnsiTheme="majorBidi" w:cstheme="majorBidi"/>
          <w:sz w:val="20"/>
          <w:szCs w:val="20"/>
        </w:rPr>
        <w:t xml:space="preserve">); Shaun Walker &amp; Owen </w:t>
      </w:r>
      <w:proofErr w:type="spellStart"/>
      <w:r w:rsidRPr="00102CE6">
        <w:rPr>
          <w:rFonts w:asciiTheme="majorBidi" w:hAnsiTheme="majorBidi" w:cstheme="majorBidi"/>
          <w:sz w:val="20"/>
          <w:szCs w:val="20"/>
        </w:rPr>
        <w:t>Bowcott</w:t>
      </w:r>
      <w:proofErr w:type="spellEnd"/>
      <w:r w:rsidRPr="00102CE6">
        <w:rPr>
          <w:rFonts w:asciiTheme="majorBidi" w:hAnsiTheme="majorBidi" w:cstheme="majorBidi"/>
          <w:sz w:val="20"/>
          <w:szCs w:val="20"/>
        </w:rPr>
        <w:t xml:space="preserve">, </w:t>
      </w:r>
      <w:r w:rsidRPr="00102CE6">
        <w:rPr>
          <w:rFonts w:asciiTheme="majorBidi" w:hAnsiTheme="majorBidi" w:cstheme="majorBidi"/>
          <w:i/>
          <w:iCs/>
          <w:sz w:val="20"/>
          <w:szCs w:val="20"/>
        </w:rPr>
        <w:t>Russia Withdraws Signature from International Criminal Court Statute</w:t>
      </w:r>
      <w:r w:rsidRPr="00102CE6">
        <w:rPr>
          <w:rFonts w:asciiTheme="majorBidi" w:hAnsiTheme="majorBidi" w:cstheme="majorBidi"/>
          <w:sz w:val="20"/>
          <w:szCs w:val="20"/>
        </w:rPr>
        <w:t xml:space="preserve">, </w:t>
      </w:r>
      <w:r w:rsidRPr="00102CE6">
        <w:rPr>
          <w:rFonts w:asciiTheme="majorBidi" w:hAnsiTheme="majorBidi" w:cstheme="majorBidi"/>
          <w:smallCaps/>
          <w:sz w:val="20"/>
          <w:szCs w:val="20"/>
        </w:rPr>
        <w:t>Guardian</w:t>
      </w:r>
      <w:r w:rsidRPr="00102CE6">
        <w:rPr>
          <w:rFonts w:asciiTheme="majorBidi" w:hAnsiTheme="majorBidi" w:cstheme="majorBidi"/>
          <w:sz w:val="20"/>
          <w:szCs w:val="20"/>
        </w:rPr>
        <w:t xml:space="preserve"> (Nov. 16, 2016</w:t>
      </w:r>
      <w:r>
        <w:rPr>
          <w:rFonts w:asciiTheme="majorBidi" w:hAnsiTheme="majorBidi" w:cstheme="majorBidi"/>
          <w:sz w:val="20"/>
          <w:szCs w:val="20"/>
        </w:rPr>
        <w:t>,</w:t>
      </w:r>
      <w:r w:rsidRPr="00102CE6">
        <w:rPr>
          <w:rFonts w:asciiTheme="majorBidi" w:hAnsiTheme="majorBidi" w:cstheme="majorBidi"/>
          <w:sz w:val="20"/>
          <w:szCs w:val="20"/>
        </w:rPr>
        <w:t xml:space="preserve"> 9:14 AM), https://www.theguardian.com/world/2016/nov/16/russia-withdraws-signature-from-international-criminal-court-statute; </w:t>
      </w:r>
      <w:r w:rsidRPr="00102CE6">
        <w:rPr>
          <w:rFonts w:asciiTheme="majorBidi" w:hAnsiTheme="majorBidi" w:cstheme="majorBidi"/>
          <w:i/>
          <w:iCs/>
          <w:sz w:val="20"/>
          <w:szCs w:val="20"/>
        </w:rPr>
        <w:t>Russia Withdraws from International Criminal Court Treaty</w:t>
      </w:r>
      <w:r>
        <w:rPr>
          <w:rFonts w:asciiTheme="majorBidi" w:hAnsiTheme="majorBidi" w:cstheme="majorBidi"/>
          <w:iCs/>
          <w:sz w:val="20"/>
          <w:szCs w:val="20"/>
        </w:rPr>
        <w:t xml:space="preserve">, </w:t>
      </w:r>
      <w:r w:rsidRPr="00102CE6">
        <w:rPr>
          <w:rFonts w:asciiTheme="majorBidi" w:hAnsiTheme="majorBidi" w:cstheme="majorBidi"/>
          <w:smallCaps/>
          <w:sz w:val="20"/>
          <w:szCs w:val="20"/>
        </w:rPr>
        <w:t>BBC News</w:t>
      </w:r>
      <w:r w:rsidRPr="00102CE6">
        <w:rPr>
          <w:rFonts w:asciiTheme="majorBidi" w:hAnsiTheme="majorBidi" w:cstheme="majorBidi"/>
          <w:sz w:val="20"/>
          <w:szCs w:val="20"/>
        </w:rPr>
        <w:t xml:space="preserve"> (Nov. 16, 2016), http://www.bbc.com/news/world-europe-38005282; Lizzie </w:t>
      </w:r>
      <w:proofErr w:type="spellStart"/>
      <w:r w:rsidRPr="00102CE6">
        <w:rPr>
          <w:rFonts w:asciiTheme="majorBidi" w:hAnsiTheme="majorBidi" w:cstheme="majorBidi"/>
          <w:sz w:val="20"/>
          <w:szCs w:val="20"/>
        </w:rPr>
        <w:t>Dearden</w:t>
      </w:r>
      <w:proofErr w:type="spellEnd"/>
      <w:r w:rsidRPr="00102CE6">
        <w:rPr>
          <w:rFonts w:asciiTheme="majorBidi" w:hAnsiTheme="majorBidi" w:cstheme="majorBidi"/>
          <w:sz w:val="20"/>
          <w:szCs w:val="20"/>
        </w:rPr>
        <w:t xml:space="preserve">, </w:t>
      </w:r>
      <w:r w:rsidRPr="00102CE6">
        <w:rPr>
          <w:rFonts w:asciiTheme="majorBidi" w:hAnsiTheme="majorBidi" w:cstheme="majorBidi"/>
          <w:i/>
          <w:sz w:val="20"/>
          <w:szCs w:val="20"/>
        </w:rPr>
        <w:t>Russia to Withdraw from International Criminal Court Amid Calls for Syria Air Strikes Investigation</w:t>
      </w:r>
      <w:r w:rsidRPr="00102CE6">
        <w:rPr>
          <w:rFonts w:asciiTheme="majorBidi" w:hAnsiTheme="majorBidi" w:cstheme="majorBidi"/>
          <w:sz w:val="20"/>
          <w:szCs w:val="20"/>
        </w:rPr>
        <w:t xml:space="preserve">, </w:t>
      </w:r>
      <w:r w:rsidRPr="00102CE6">
        <w:rPr>
          <w:rFonts w:asciiTheme="majorBidi" w:hAnsiTheme="majorBidi" w:cstheme="majorBidi"/>
          <w:smallCaps/>
          <w:sz w:val="20"/>
          <w:szCs w:val="20"/>
        </w:rPr>
        <w:t>Independent</w:t>
      </w:r>
      <w:r w:rsidRPr="00102CE6">
        <w:rPr>
          <w:rFonts w:asciiTheme="majorBidi" w:hAnsiTheme="majorBidi" w:cstheme="majorBidi"/>
          <w:sz w:val="20"/>
          <w:szCs w:val="20"/>
        </w:rPr>
        <w:t xml:space="preserve"> (Nov. 16, 2016), http://www.independent.co.uk/news/world/europe/russia-international-criminal-court-icc-leaves-pulls-out-withdraws-putin-assad-syria-war-aleppo-a7420676.html; Robbie </w:t>
      </w:r>
      <w:proofErr w:type="spellStart"/>
      <w:r w:rsidRPr="00102CE6">
        <w:rPr>
          <w:rFonts w:asciiTheme="majorBidi" w:hAnsiTheme="majorBidi" w:cstheme="majorBidi"/>
          <w:sz w:val="20"/>
          <w:szCs w:val="20"/>
        </w:rPr>
        <w:t>Gramer</w:t>
      </w:r>
      <w:proofErr w:type="spellEnd"/>
      <w:r w:rsidRPr="00102CE6">
        <w:rPr>
          <w:rFonts w:asciiTheme="majorBidi" w:hAnsiTheme="majorBidi" w:cstheme="majorBidi"/>
          <w:sz w:val="20"/>
          <w:szCs w:val="20"/>
        </w:rPr>
        <w:t xml:space="preserve">, </w:t>
      </w:r>
      <w:r w:rsidRPr="00102CE6">
        <w:rPr>
          <w:rFonts w:asciiTheme="majorBidi" w:hAnsiTheme="majorBidi" w:cstheme="majorBidi"/>
          <w:i/>
          <w:iCs/>
          <w:sz w:val="20"/>
          <w:szCs w:val="20"/>
        </w:rPr>
        <w:t>Why Russia Just Withdrew from the ICC</w:t>
      </w:r>
      <w:r w:rsidRPr="00102CE6">
        <w:rPr>
          <w:rFonts w:asciiTheme="majorBidi" w:hAnsiTheme="majorBidi" w:cstheme="majorBidi"/>
          <w:sz w:val="20"/>
          <w:szCs w:val="20"/>
        </w:rPr>
        <w:t xml:space="preserve">, </w:t>
      </w:r>
      <w:r w:rsidRPr="00102CE6">
        <w:rPr>
          <w:rFonts w:asciiTheme="majorBidi" w:hAnsiTheme="majorBidi" w:cstheme="majorBidi"/>
          <w:smallCaps/>
          <w:sz w:val="20"/>
          <w:szCs w:val="20"/>
        </w:rPr>
        <w:t>Foreign Policy</w:t>
      </w:r>
      <w:r w:rsidRPr="00102CE6">
        <w:rPr>
          <w:rFonts w:asciiTheme="majorBidi" w:hAnsiTheme="majorBidi" w:cstheme="majorBidi"/>
          <w:sz w:val="20"/>
          <w:szCs w:val="20"/>
        </w:rPr>
        <w:t xml:space="preserve"> (Nov. 16, 2016</w:t>
      </w:r>
      <w:r>
        <w:rPr>
          <w:rFonts w:asciiTheme="majorBidi" w:hAnsiTheme="majorBidi" w:cstheme="majorBidi"/>
          <w:sz w:val="20"/>
          <w:szCs w:val="20"/>
        </w:rPr>
        <w:t>,</w:t>
      </w:r>
      <w:r w:rsidRPr="00102CE6">
        <w:rPr>
          <w:rFonts w:asciiTheme="majorBidi" w:hAnsiTheme="majorBidi" w:cstheme="majorBidi"/>
          <w:sz w:val="20"/>
          <w:szCs w:val="20"/>
        </w:rPr>
        <w:t xml:space="preserve"> 10:18 AM), http://foreignpolicy.com/2016/11/16/why-russia-just-withdrew-from-icc-putin-treaty-ukraine-law/; Nick Robins-Early, </w:t>
      </w:r>
      <w:r w:rsidRPr="00102CE6">
        <w:rPr>
          <w:rFonts w:asciiTheme="majorBidi" w:hAnsiTheme="majorBidi" w:cstheme="majorBidi"/>
          <w:i/>
          <w:sz w:val="20"/>
          <w:szCs w:val="20"/>
        </w:rPr>
        <w:t>What Russia Leaving the International Criminal Court Really Means</w:t>
      </w:r>
      <w:r w:rsidRPr="00102CE6">
        <w:rPr>
          <w:rFonts w:asciiTheme="majorBidi" w:hAnsiTheme="majorBidi" w:cstheme="majorBidi"/>
          <w:sz w:val="20"/>
          <w:szCs w:val="20"/>
        </w:rPr>
        <w:t xml:space="preserve">, </w:t>
      </w:r>
      <w:r w:rsidRPr="00102CE6">
        <w:rPr>
          <w:rFonts w:asciiTheme="majorBidi" w:hAnsiTheme="majorBidi" w:cstheme="majorBidi"/>
          <w:smallCaps/>
          <w:sz w:val="20"/>
          <w:szCs w:val="20"/>
        </w:rPr>
        <w:t>Huffington Post</w:t>
      </w:r>
      <w:r w:rsidRPr="00102CE6">
        <w:rPr>
          <w:rFonts w:asciiTheme="majorBidi" w:hAnsiTheme="majorBidi" w:cstheme="majorBidi"/>
          <w:sz w:val="20"/>
          <w:szCs w:val="20"/>
        </w:rPr>
        <w:t xml:space="preserve"> (Nov. 17, 2016), http://www.huffingtonpost.com/entry/russia-international-criminal-court_us_582c6ea5e4b0e39c1fa7312f. </w:t>
      </w:r>
    </w:p>
  </w:footnote>
  <w:footnote w:id="78">
    <w:p w14:paraId="09B9BCB9" w14:textId="26FC216A" w:rsidR="00802DBC" w:rsidRPr="0043061D" w:rsidRDefault="00802DBC" w:rsidP="002E1B14">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EF740A">
        <w:rPr>
          <w:rFonts w:asciiTheme="majorBidi" w:hAnsiTheme="majorBidi" w:cstheme="majorBidi"/>
          <w:i/>
          <w:iCs/>
          <w:sz w:val="20"/>
          <w:szCs w:val="20"/>
        </w:rPr>
        <w:t xml:space="preserve">See generally </w:t>
      </w:r>
      <w:r w:rsidRPr="00EF740A">
        <w:rPr>
          <w:rFonts w:asciiTheme="majorBidi" w:hAnsiTheme="majorBidi" w:cstheme="majorBidi"/>
          <w:sz w:val="20"/>
          <w:szCs w:val="20"/>
        </w:rPr>
        <w:t xml:space="preserve">Mark </w:t>
      </w:r>
      <w:proofErr w:type="spellStart"/>
      <w:r w:rsidRPr="00EF740A">
        <w:rPr>
          <w:rFonts w:asciiTheme="majorBidi" w:hAnsiTheme="majorBidi" w:cstheme="majorBidi"/>
          <w:sz w:val="20"/>
          <w:szCs w:val="20"/>
        </w:rPr>
        <w:t>Osiel</w:t>
      </w:r>
      <w:proofErr w:type="spellEnd"/>
      <w:r w:rsidRPr="00EF740A">
        <w:rPr>
          <w:rFonts w:asciiTheme="majorBidi" w:hAnsiTheme="majorBidi" w:cstheme="majorBidi"/>
          <w:sz w:val="20"/>
          <w:szCs w:val="20"/>
        </w:rPr>
        <w:t xml:space="preserve">, </w:t>
      </w:r>
      <w:r w:rsidRPr="00CA2399">
        <w:rPr>
          <w:rFonts w:asciiTheme="majorBidi" w:hAnsiTheme="majorBidi" w:cstheme="majorBidi"/>
          <w:i/>
          <w:iCs/>
          <w:sz w:val="20"/>
          <w:szCs w:val="20"/>
        </w:rPr>
        <w:t>Why Prosecute? Critics of Punishment for Mass Atrocity</w:t>
      </w:r>
      <w:r w:rsidRPr="00DF383F">
        <w:rPr>
          <w:rFonts w:asciiTheme="majorBidi" w:hAnsiTheme="majorBidi" w:cstheme="majorBidi"/>
          <w:sz w:val="20"/>
          <w:szCs w:val="20"/>
        </w:rPr>
        <w:t xml:space="preserve">, 22 </w:t>
      </w:r>
      <w:r w:rsidRPr="007B2ECC">
        <w:rPr>
          <w:rFonts w:asciiTheme="majorBidi" w:hAnsiTheme="majorBidi" w:cstheme="majorBidi"/>
          <w:smallCaps/>
          <w:sz w:val="20"/>
          <w:szCs w:val="20"/>
        </w:rPr>
        <w:t xml:space="preserve">Hum. </w:t>
      </w:r>
      <w:proofErr w:type="spellStart"/>
      <w:r w:rsidRPr="007B2ECC">
        <w:rPr>
          <w:rFonts w:asciiTheme="majorBidi" w:hAnsiTheme="majorBidi" w:cstheme="majorBidi"/>
          <w:smallCaps/>
          <w:sz w:val="20"/>
          <w:szCs w:val="20"/>
        </w:rPr>
        <w:t>Rts</w:t>
      </w:r>
      <w:proofErr w:type="spellEnd"/>
      <w:r w:rsidRPr="007B2ECC">
        <w:rPr>
          <w:rFonts w:asciiTheme="majorBidi" w:hAnsiTheme="majorBidi" w:cstheme="majorBidi"/>
          <w:smallCaps/>
          <w:sz w:val="20"/>
          <w:szCs w:val="20"/>
        </w:rPr>
        <w:t>. Q.</w:t>
      </w:r>
      <w:r w:rsidRPr="007B2ECC">
        <w:rPr>
          <w:rFonts w:asciiTheme="majorBidi" w:hAnsiTheme="majorBidi" w:cstheme="majorBidi"/>
          <w:sz w:val="20"/>
          <w:szCs w:val="20"/>
        </w:rPr>
        <w:t xml:space="preserve"> 118 (2000)</w:t>
      </w:r>
      <w:r w:rsidRPr="00102CE6">
        <w:rPr>
          <w:rFonts w:asciiTheme="majorBidi" w:hAnsiTheme="majorBidi" w:cstheme="majorBidi"/>
          <w:sz w:val="20"/>
          <w:szCs w:val="20"/>
        </w:rPr>
        <w:t>.</w:t>
      </w:r>
      <w:r>
        <w:rPr>
          <w:rFonts w:asciiTheme="majorBidi" w:hAnsiTheme="majorBidi" w:cstheme="majorBidi"/>
          <w:sz w:val="20"/>
          <w:szCs w:val="20"/>
        </w:rPr>
        <w:t xml:space="preserve"> </w:t>
      </w:r>
      <w:r w:rsidRPr="00102CE6">
        <w:rPr>
          <w:rFonts w:asciiTheme="majorBidi" w:hAnsiTheme="majorBidi" w:cstheme="majorBidi"/>
          <w:i/>
          <w:iCs/>
          <w:sz w:val="20"/>
          <w:szCs w:val="20"/>
        </w:rPr>
        <w:t xml:space="preserve">See generally </w:t>
      </w:r>
      <w:r w:rsidRPr="00102CE6">
        <w:rPr>
          <w:rFonts w:asciiTheme="majorBidi" w:hAnsiTheme="majorBidi" w:cstheme="majorBidi"/>
          <w:smallCaps/>
          <w:sz w:val="20"/>
          <w:szCs w:val="20"/>
        </w:rPr>
        <w:t xml:space="preserve">Mark </w:t>
      </w:r>
      <w:proofErr w:type="spellStart"/>
      <w:r w:rsidRPr="00102CE6">
        <w:rPr>
          <w:rFonts w:asciiTheme="majorBidi" w:hAnsiTheme="majorBidi" w:cstheme="majorBidi"/>
          <w:smallCaps/>
          <w:sz w:val="20"/>
          <w:szCs w:val="20"/>
        </w:rPr>
        <w:t>Osiel</w:t>
      </w:r>
      <w:proofErr w:type="spellEnd"/>
      <w:r w:rsidRPr="00102CE6">
        <w:rPr>
          <w:rFonts w:asciiTheme="majorBidi" w:hAnsiTheme="majorBidi" w:cstheme="majorBidi"/>
          <w:smallCaps/>
          <w:sz w:val="20"/>
          <w:szCs w:val="20"/>
        </w:rPr>
        <w:t xml:space="preserve">, Mass Atrocity, Collective Memory and the Law </w:t>
      </w:r>
      <w:r w:rsidRPr="00102CE6">
        <w:rPr>
          <w:rFonts w:asciiTheme="majorBidi" w:hAnsiTheme="majorBidi" w:cstheme="majorBidi"/>
          <w:sz w:val="20"/>
          <w:szCs w:val="20"/>
        </w:rPr>
        <w:t>(</w:t>
      </w:r>
      <w:r w:rsidRPr="0043061D">
        <w:rPr>
          <w:rFonts w:asciiTheme="majorBidi" w:hAnsiTheme="majorBidi" w:cstheme="majorBidi"/>
          <w:sz w:val="20"/>
          <w:szCs w:val="20"/>
        </w:rPr>
        <w:t>1999).</w:t>
      </w:r>
    </w:p>
  </w:footnote>
  <w:footnote w:id="79">
    <w:p w14:paraId="08BB9697" w14:textId="2C15E275" w:rsidR="00802DBC" w:rsidRPr="00102CE6" w:rsidRDefault="00802DBC" w:rsidP="000676F5">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Pr>
          <w:rFonts w:ascii="Times New Roman" w:hAnsi="Times New Roman" w:cs="Times New Roman"/>
          <w:i/>
          <w:sz w:val="20"/>
          <w:szCs w:val="20"/>
        </w:rPr>
        <w:t>See generally</w:t>
      </w:r>
      <w:r>
        <w:rPr>
          <w:rFonts w:ascii="Times New Roman" w:hAnsi="Times New Roman" w:cs="Times New Roman"/>
          <w:iCs/>
          <w:sz w:val="20"/>
          <w:szCs w:val="20"/>
        </w:rPr>
        <w:t xml:space="preserve"> Rome Statute, </w:t>
      </w:r>
      <w:r>
        <w:rPr>
          <w:rFonts w:ascii="Times New Roman" w:hAnsi="Times New Roman" w:cs="Times New Roman"/>
          <w:i/>
          <w:sz w:val="20"/>
          <w:szCs w:val="20"/>
        </w:rPr>
        <w:t xml:space="preserve">supra </w:t>
      </w:r>
      <w:r>
        <w:rPr>
          <w:rFonts w:ascii="Times New Roman" w:hAnsi="Times New Roman" w:cs="Times New Roman"/>
          <w:iCs/>
          <w:sz w:val="20"/>
          <w:szCs w:val="20"/>
        </w:rPr>
        <w:t>note 3.</w:t>
      </w:r>
      <w:r w:rsidR="007557EB">
        <w:rPr>
          <w:rFonts w:ascii="Times New Roman" w:hAnsi="Times New Roman" w:cs="Times New Roman"/>
          <w:iCs/>
          <w:sz w:val="20"/>
          <w:szCs w:val="20"/>
        </w:rPr>
        <w:t xml:space="preserve">  </w:t>
      </w:r>
      <w:r w:rsidRPr="00102CE6">
        <w:rPr>
          <w:rFonts w:ascii="Times New Roman" w:hAnsi="Times New Roman" w:cs="Times New Roman"/>
          <w:sz w:val="20"/>
          <w:szCs w:val="20"/>
        </w:rPr>
        <w:t>The Rome Statute defines crimes against humanity as widespread or systematic attacks against a civilian population that i</w:t>
      </w:r>
      <w:r w:rsidR="00C331D0">
        <w:rPr>
          <w:rFonts w:ascii="Times New Roman" w:hAnsi="Times New Roman" w:cs="Times New Roman"/>
          <w:sz w:val="20"/>
          <w:szCs w:val="20"/>
        </w:rPr>
        <w:t>ncludes (but is not limited to):</w:t>
      </w:r>
      <w:r w:rsidRPr="00102CE6">
        <w:rPr>
          <w:rFonts w:ascii="Times New Roman" w:hAnsi="Times New Roman" w:cs="Times New Roman"/>
          <w:sz w:val="20"/>
          <w:szCs w:val="20"/>
        </w:rPr>
        <w:t xml:space="preserve"> apartheid, forcible transfer, rape, and violations of </w:t>
      </w:r>
      <w:r w:rsidRPr="00102CE6">
        <w:rPr>
          <w:rFonts w:ascii="Times New Roman" w:hAnsi="Times New Roman" w:cs="Times New Roman"/>
          <w:i/>
          <w:sz w:val="20"/>
          <w:szCs w:val="20"/>
        </w:rPr>
        <w:t xml:space="preserve">jus </w:t>
      </w:r>
      <w:proofErr w:type="spellStart"/>
      <w:r w:rsidRPr="00102CE6">
        <w:rPr>
          <w:rFonts w:ascii="Times New Roman" w:hAnsi="Times New Roman" w:cs="Times New Roman"/>
          <w:i/>
          <w:sz w:val="20"/>
          <w:szCs w:val="20"/>
        </w:rPr>
        <w:t>cogens</w:t>
      </w:r>
      <w:proofErr w:type="spellEnd"/>
      <w:r w:rsidRPr="00102CE6">
        <w:rPr>
          <w:rFonts w:ascii="Times New Roman" w:hAnsi="Times New Roman" w:cs="Times New Roman"/>
          <w:sz w:val="20"/>
          <w:szCs w:val="20"/>
        </w:rPr>
        <w:t xml:space="preserve"> norms. </w:t>
      </w:r>
    </w:p>
  </w:footnote>
  <w:footnote w:id="80">
    <w:p w14:paraId="7830BC14" w14:textId="49F936E8" w:rsidR="00802DBC" w:rsidRPr="00102CE6" w:rsidRDefault="00802DBC" w:rsidP="005425D6">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EF740A">
        <w:rPr>
          <w:rFonts w:ascii="Times New Roman" w:hAnsi="Times New Roman" w:cs="Times New Roman"/>
          <w:i/>
          <w:sz w:val="20"/>
          <w:szCs w:val="20"/>
        </w:rPr>
        <w:t>Id</w:t>
      </w:r>
      <w:r w:rsidRPr="00EF740A">
        <w:rPr>
          <w:rFonts w:ascii="Times New Roman" w:hAnsi="Times New Roman" w:cs="Times New Roman"/>
          <w:sz w:val="20"/>
          <w:szCs w:val="20"/>
        </w:rPr>
        <w:t xml:space="preserve">. </w:t>
      </w:r>
    </w:p>
  </w:footnote>
  <w:footnote w:id="81">
    <w:p w14:paraId="2134875E" w14:textId="1AC954C1" w:rsidR="00802DBC" w:rsidRPr="00102CE6" w:rsidRDefault="00802DBC" w:rsidP="002E1B14">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102CE6">
        <w:rPr>
          <w:rFonts w:ascii="Times New Roman" w:hAnsi="Times New Roman" w:cs="Times New Roman"/>
          <w:i/>
          <w:sz w:val="20"/>
          <w:szCs w:val="20"/>
        </w:rPr>
        <w:t>Id</w:t>
      </w:r>
      <w:r w:rsidRPr="00102CE6">
        <w:rPr>
          <w:rFonts w:ascii="Times New Roman" w:hAnsi="Times New Roman" w:cs="Times New Roman"/>
          <w:sz w:val="20"/>
          <w:szCs w:val="20"/>
        </w:rPr>
        <w:t>.</w:t>
      </w:r>
    </w:p>
  </w:footnote>
  <w:footnote w:id="82">
    <w:p w14:paraId="730A916A" w14:textId="254A5B38" w:rsidR="00802DBC" w:rsidRPr="00BA70C1" w:rsidRDefault="00802DBC" w:rsidP="00C331D0">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BA70C1">
        <w:rPr>
          <w:rFonts w:ascii="Times New Roman" w:hAnsi="Times New Roman" w:cs="Times New Roman"/>
          <w:smallCaps/>
          <w:sz w:val="20"/>
          <w:szCs w:val="20"/>
        </w:rPr>
        <w:t>Int</w:t>
      </w:r>
      <w:r>
        <w:rPr>
          <w:rFonts w:ascii="Times New Roman" w:hAnsi="Times New Roman" w:cs="Times New Roman"/>
          <w:smallCaps/>
          <w:sz w:val="20"/>
          <w:szCs w:val="20"/>
        </w:rPr>
        <w:t>’</w:t>
      </w:r>
      <w:r w:rsidRPr="00BA70C1">
        <w:rPr>
          <w:rFonts w:ascii="Times New Roman" w:hAnsi="Times New Roman" w:cs="Times New Roman"/>
          <w:smallCaps/>
          <w:sz w:val="20"/>
          <w:szCs w:val="20"/>
        </w:rPr>
        <w:t xml:space="preserve">l </w:t>
      </w:r>
      <w:r>
        <w:rPr>
          <w:rFonts w:ascii="Times New Roman" w:hAnsi="Times New Roman" w:cs="Times New Roman"/>
          <w:smallCaps/>
          <w:sz w:val="20"/>
          <w:szCs w:val="20"/>
        </w:rPr>
        <w:t>Crim. Ct.</w:t>
      </w:r>
      <w:r w:rsidRPr="00BA70C1">
        <w:rPr>
          <w:rFonts w:ascii="Times New Roman" w:hAnsi="Times New Roman" w:cs="Times New Roman"/>
          <w:sz w:val="20"/>
          <w:szCs w:val="20"/>
        </w:rPr>
        <w:t xml:space="preserve">, </w:t>
      </w:r>
      <w:r w:rsidRPr="00BA70C1">
        <w:rPr>
          <w:rFonts w:ascii="Times New Roman" w:hAnsi="Times New Roman" w:cs="Times New Roman"/>
          <w:i/>
          <w:sz w:val="20"/>
          <w:szCs w:val="20"/>
        </w:rPr>
        <w:t>How the Court Works</w:t>
      </w:r>
      <w:r w:rsidR="00C331D0">
        <w:rPr>
          <w:rFonts w:ascii="Times New Roman" w:hAnsi="Times New Roman" w:cs="Times New Roman"/>
          <w:sz w:val="20"/>
          <w:szCs w:val="20"/>
        </w:rPr>
        <w:t xml:space="preserve"> </w:t>
      </w:r>
      <w:r w:rsidR="00C331D0" w:rsidRPr="00BA70C1">
        <w:rPr>
          <w:rFonts w:ascii="Times New Roman" w:hAnsi="Times New Roman" w:cs="Times New Roman"/>
          <w:sz w:val="20"/>
          <w:szCs w:val="20"/>
        </w:rPr>
        <w:t>(</w:t>
      </w:r>
      <w:r w:rsidR="00C331D0">
        <w:rPr>
          <w:rFonts w:ascii="Times New Roman" w:hAnsi="Times New Roman" w:cs="Times New Roman"/>
          <w:sz w:val="20"/>
          <w:szCs w:val="20"/>
        </w:rPr>
        <w:t>Oct. 15, 2016)</w:t>
      </w:r>
      <w:r w:rsidRPr="00BA70C1">
        <w:rPr>
          <w:rFonts w:ascii="Times New Roman" w:hAnsi="Times New Roman" w:cs="Times New Roman"/>
          <w:sz w:val="20"/>
          <w:szCs w:val="20"/>
        </w:rPr>
        <w:t xml:space="preserve"> https://www.icc-cpi.int/about/how-the-court-works</w:t>
      </w:r>
      <w:r w:rsidR="00C331D0">
        <w:rPr>
          <w:rFonts w:ascii="Times New Roman" w:hAnsi="Times New Roman" w:cs="Times New Roman"/>
          <w:sz w:val="20"/>
          <w:szCs w:val="20"/>
        </w:rPr>
        <w:t>.</w:t>
      </w:r>
      <w:r w:rsidRPr="00BA70C1">
        <w:rPr>
          <w:rFonts w:ascii="Times New Roman" w:hAnsi="Times New Roman" w:cs="Times New Roman"/>
          <w:sz w:val="20"/>
          <w:szCs w:val="20"/>
        </w:rPr>
        <w:t xml:space="preserve"> </w:t>
      </w:r>
    </w:p>
  </w:footnote>
  <w:footnote w:id="83">
    <w:p w14:paraId="48270D4D" w14:textId="59085263" w:rsidR="00802DBC" w:rsidRPr="00785E82" w:rsidRDefault="00802DBC" w:rsidP="00785E82">
      <w:pPr>
        <w:pStyle w:val="FootnoteText"/>
        <w:ind w:firstLine="144"/>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However, there are other means by which a state or citizen of a state could come before the Court. </w:t>
      </w:r>
      <w:r w:rsidRPr="00CA2399">
        <w:rPr>
          <w:rFonts w:asciiTheme="majorBidi" w:hAnsiTheme="majorBidi" w:cstheme="majorBidi"/>
          <w:sz w:val="20"/>
          <w:szCs w:val="20"/>
        </w:rPr>
        <w:t xml:space="preserve"> The Security Council can refer a situation to the Court; or the Prosecutor can c</w:t>
      </w:r>
      <w:r w:rsidRPr="00DF383F">
        <w:rPr>
          <w:rFonts w:asciiTheme="majorBidi" w:hAnsiTheme="majorBidi" w:cstheme="majorBidi"/>
          <w:sz w:val="20"/>
          <w:szCs w:val="20"/>
        </w:rPr>
        <w:t>ho</w:t>
      </w:r>
      <w:r>
        <w:rPr>
          <w:rFonts w:asciiTheme="majorBidi" w:hAnsiTheme="majorBidi" w:cstheme="majorBidi"/>
          <w:sz w:val="20"/>
          <w:szCs w:val="20"/>
        </w:rPr>
        <w:t>o</w:t>
      </w:r>
      <w:r w:rsidRPr="00DF383F">
        <w:rPr>
          <w:rFonts w:asciiTheme="majorBidi" w:hAnsiTheme="majorBidi" w:cstheme="majorBidi"/>
          <w:sz w:val="20"/>
          <w:szCs w:val="20"/>
        </w:rPr>
        <w:t>se to investigate a situation.</w:t>
      </w:r>
      <w:r>
        <w:rPr>
          <w:rFonts w:asciiTheme="majorBidi" w:hAnsiTheme="majorBidi" w:cstheme="majorBidi"/>
          <w:sz w:val="20"/>
          <w:szCs w:val="20"/>
        </w:rPr>
        <w:t xml:space="preserve"> </w:t>
      </w:r>
      <w:r w:rsidRPr="00445C4C">
        <w:rPr>
          <w:rFonts w:asciiTheme="majorBidi" w:hAnsiTheme="majorBidi" w:cstheme="majorBidi"/>
          <w:i/>
          <w:sz w:val="20"/>
          <w:szCs w:val="20"/>
        </w:rPr>
        <w:t>See</w:t>
      </w:r>
      <w:r>
        <w:rPr>
          <w:rFonts w:asciiTheme="majorBidi" w:hAnsiTheme="majorBidi" w:cstheme="majorBidi"/>
          <w:sz w:val="20"/>
          <w:szCs w:val="20"/>
        </w:rPr>
        <w:t xml:space="preserve"> </w:t>
      </w:r>
      <w:r>
        <w:rPr>
          <w:rFonts w:asciiTheme="majorBidi" w:hAnsiTheme="majorBidi" w:cstheme="majorBidi"/>
          <w:i/>
          <w:iCs/>
          <w:sz w:val="20"/>
          <w:szCs w:val="20"/>
        </w:rPr>
        <w:t>id</w:t>
      </w:r>
      <w:r>
        <w:rPr>
          <w:rFonts w:asciiTheme="majorBidi" w:hAnsiTheme="majorBidi" w:cstheme="majorBidi"/>
          <w:sz w:val="20"/>
          <w:szCs w:val="20"/>
        </w:rPr>
        <w:t>.</w:t>
      </w:r>
    </w:p>
  </w:footnote>
  <w:footnote w:id="84">
    <w:p w14:paraId="1CB94C5C" w14:textId="6E62E8A4" w:rsidR="00802DBC" w:rsidRPr="00BA70C1" w:rsidRDefault="00802DBC" w:rsidP="00CE38AF">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Schabas, </w:t>
      </w:r>
      <w:r w:rsidRPr="00EF740A">
        <w:rPr>
          <w:rFonts w:ascii="Times New Roman" w:hAnsi="Times New Roman" w:cs="Times New Roman"/>
          <w:i/>
          <w:iCs/>
          <w:sz w:val="20"/>
          <w:szCs w:val="20"/>
        </w:rPr>
        <w:t xml:space="preserve">supra </w:t>
      </w:r>
      <w:r>
        <w:rPr>
          <w:rFonts w:ascii="Times New Roman" w:hAnsi="Times New Roman" w:cs="Times New Roman"/>
          <w:sz w:val="20"/>
          <w:szCs w:val="20"/>
        </w:rPr>
        <w:t>note 70</w:t>
      </w:r>
      <w:r w:rsidRPr="00CA2399">
        <w:rPr>
          <w:rFonts w:ascii="Times New Roman" w:hAnsi="Times New Roman" w:cs="Times New Roman"/>
          <w:sz w:val="20"/>
          <w:szCs w:val="20"/>
        </w:rPr>
        <w:t xml:space="preserve">, </w:t>
      </w:r>
      <w:r w:rsidRPr="00BA70C1">
        <w:rPr>
          <w:rFonts w:ascii="Times New Roman" w:hAnsi="Times New Roman" w:cs="Times New Roman"/>
          <w:sz w:val="20"/>
          <w:szCs w:val="20"/>
        </w:rPr>
        <w:t>at 709</w:t>
      </w:r>
      <w:r>
        <w:rPr>
          <w:rFonts w:ascii="Times New Roman" w:hAnsi="Times New Roman" w:cs="Times New Roman"/>
          <w:sz w:val="20"/>
          <w:szCs w:val="20"/>
        </w:rPr>
        <w:t>–</w:t>
      </w:r>
      <w:r>
        <w:rPr>
          <w:rFonts w:ascii="Times New Roman" w:hAnsi="Times New Roman" w:cs="Times New Roman"/>
          <w:sz w:val="20"/>
          <w:szCs w:val="20"/>
        </w:rPr>
        <w:tab/>
        <w:t>10.</w:t>
      </w:r>
    </w:p>
  </w:footnote>
  <w:footnote w:id="85">
    <w:p w14:paraId="049161E9" w14:textId="0493CB35" w:rsidR="00802DBC" w:rsidRPr="00EF740A" w:rsidRDefault="00802DBC" w:rsidP="00CE38AF">
      <w:pPr>
        <w:pStyle w:val="FootnoteText"/>
        <w:ind w:firstLine="144"/>
        <w:jc w:val="both"/>
        <w:rPr>
          <w:rFonts w:ascii="Times New Roman" w:hAnsi="Times New Roman" w:cs="Times New Roman"/>
          <w:b/>
          <w:bCs/>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EF740A">
        <w:rPr>
          <w:rFonts w:ascii="Times New Roman" w:hAnsi="Times New Roman" w:cs="Times New Roman"/>
          <w:i/>
          <w:iCs/>
          <w:sz w:val="20"/>
          <w:szCs w:val="20"/>
        </w:rPr>
        <w:t>Id</w:t>
      </w:r>
      <w:r w:rsidRPr="00EF740A">
        <w:rPr>
          <w:rFonts w:ascii="Times New Roman" w:hAnsi="Times New Roman" w:cs="Times New Roman"/>
          <w:iCs/>
          <w:sz w:val="20"/>
          <w:szCs w:val="20"/>
        </w:rPr>
        <w:t>.</w:t>
      </w:r>
      <w:r w:rsidRPr="00CA2399">
        <w:rPr>
          <w:rFonts w:ascii="Times New Roman" w:hAnsi="Times New Roman" w:cs="Times New Roman"/>
          <w:i/>
          <w:iCs/>
          <w:sz w:val="20"/>
          <w:szCs w:val="20"/>
        </w:rPr>
        <w:t xml:space="preserve"> </w:t>
      </w:r>
      <w:r w:rsidRPr="00DF383F">
        <w:rPr>
          <w:rFonts w:ascii="Times New Roman" w:hAnsi="Times New Roman" w:cs="Times New Roman"/>
          <w:sz w:val="20"/>
          <w:szCs w:val="20"/>
        </w:rPr>
        <w:t xml:space="preserve">at </w:t>
      </w:r>
      <w:r w:rsidRPr="00BA70C1">
        <w:rPr>
          <w:rFonts w:ascii="Times New Roman" w:hAnsi="Times New Roman" w:cs="Times New Roman"/>
          <w:sz w:val="20"/>
          <w:szCs w:val="20"/>
        </w:rPr>
        <w:t>701</w:t>
      </w:r>
      <w:r>
        <w:rPr>
          <w:rFonts w:ascii="Times New Roman" w:hAnsi="Times New Roman" w:cs="Times New Roman"/>
          <w:sz w:val="20"/>
          <w:szCs w:val="20"/>
        </w:rPr>
        <w:t>–02.</w:t>
      </w:r>
    </w:p>
  </w:footnote>
  <w:footnote w:id="86">
    <w:p w14:paraId="19643D1E" w14:textId="1AE9AE10" w:rsidR="00802DBC" w:rsidRPr="00BA70C1" w:rsidRDefault="00802DBC" w:rsidP="00CE38AF">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BA70C1">
        <w:rPr>
          <w:rFonts w:ascii="Times New Roman" w:hAnsi="Times New Roman" w:cs="Times New Roman"/>
          <w:smallCaps/>
          <w:sz w:val="20"/>
          <w:szCs w:val="20"/>
        </w:rPr>
        <w:t>Int</w:t>
      </w:r>
      <w:r>
        <w:rPr>
          <w:rFonts w:ascii="Times New Roman" w:hAnsi="Times New Roman" w:cs="Times New Roman"/>
          <w:smallCaps/>
          <w:sz w:val="20"/>
          <w:szCs w:val="20"/>
        </w:rPr>
        <w:t>’</w:t>
      </w:r>
      <w:r w:rsidRPr="00BA70C1">
        <w:rPr>
          <w:rFonts w:ascii="Times New Roman" w:hAnsi="Times New Roman" w:cs="Times New Roman"/>
          <w:smallCaps/>
          <w:sz w:val="20"/>
          <w:szCs w:val="20"/>
        </w:rPr>
        <w:t xml:space="preserve">l </w:t>
      </w:r>
      <w:r>
        <w:rPr>
          <w:rFonts w:ascii="Times New Roman" w:hAnsi="Times New Roman" w:cs="Times New Roman"/>
          <w:smallCaps/>
          <w:sz w:val="20"/>
          <w:szCs w:val="20"/>
        </w:rPr>
        <w:t>Crim. Ct.</w:t>
      </w:r>
      <w:r w:rsidRPr="00BA70C1">
        <w:rPr>
          <w:rFonts w:ascii="Times New Roman" w:hAnsi="Times New Roman" w:cs="Times New Roman"/>
          <w:smallCaps/>
          <w:sz w:val="20"/>
          <w:szCs w:val="20"/>
        </w:rPr>
        <w:t xml:space="preserve">, </w:t>
      </w:r>
      <w:r w:rsidRPr="00BA70C1">
        <w:rPr>
          <w:rFonts w:ascii="Times New Roman" w:hAnsi="Times New Roman" w:cs="Times New Roman"/>
          <w:i/>
          <w:iCs/>
          <w:sz w:val="20"/>
          <w:szCs w:val="20"/>
        </w:rPr>
        <w:t>Parties to the Rome Statute</w:t>
      </w:r>
      <w:r w:rsidRPr="00BA70C1">
        <w:rPr>
          <w:rFonts w:ascii="Times New Roman" w:hAnsi="Times New Roman" w:cs="Times New Roman"/>
          <w:sz w:val="20"/>
          <w:szCs w:val="20"/>
        </w:rPr>
        <w:t>, https://asp.icc-cpi.int/en_menus/asp/states%20parties/Pages/the%20states%20parties%20to%20the%20rom</w:t>
      </w:r>
      <w:r>
        <w:rPr>
          <w:rFonts w:ascii="Times New Roman" w:hAnsi="Times New Roman" w:cs="Times New Roman"/>
          <w:sz w:val="20"/>
          <w:szCs w:val="20"/>
        </w:rPr>
        <w:t>e%20statute.aspx (last visited Oct. 20, 2016</w:t>
      </w:r>
      <w:r w:rsidRPr="00BA70C1">
        <w:rPr>
          <w:rFonts w:ascii="Times New Roman" w:hAnsi="Times New Roman" w:cs="Times New Roman"/>
          <w:sz w:val="20"/>
          <w:szCs w:val="20"/>
        </w:rPr>
        <w:t>).</w:t>
      </w:r>
    </w:p>
  </w:footnote>
  <w:footnote w:id="87">
    <w:p w14:paraId="5A73644E" w14:textId="7D33AB8C" w:rsidR="00802DBC" w:rsidRPr="00BA70C1" w:rsidRDefault="00802DBC" w:rsidP="00F43D9C">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BA70C1">
        <w:rPr>
          <w:rFonts w:ascii="Times New Roman" w:hAnsi="Times New Roman" w:cs="Times New Roman"/>
          <w:smallCaps/>
          <w:sz w:val="20"/>
          <w:szCs w:val="20"/>
        </w:rPr>
        <w:t>Int</w:t>
      </w:r>
      <w:r>
        <w:rPr>
          <w:rFonts w:ascii="Times New Roman" w:hAnsi="Times New Roman" w:cs="Times New Roman"/>
          <w:smallCaps/>
          <w:sz w:val="20"/>
          <w:szCs w:val="20"/>
        </w:rPr>
        <w:t>’</w:t>
      </w:r>
      <w:r w:rsidRPr="00BA70C1">
        <w:rPr>
          <w:rFonts w:ascii="Times New Roman" w:hAnsi="Times New Roman" w:cs="Times New Roman"/>
          <w:smallCaps/>
          <w:sz w:val="20"/>
          <w:szCs w:val="20"/>
        </w:rPr>
        <w:t xml:space="preserve">l </w:t>
      </w:r>
      <w:r>
        <w:rPr>
          <w:rFonts w:ascii="Times New Roman" w:hAnsi="Times New Roman" w:cs="Times New Roman"/>
          <w:smallCaps/>
          <w:sz w:val="20"/>
          <w:szCs w:val="20"/>
        </w:rPr>
        <w:t>Crim. Ct.</w:t>
      </w:r>
      <w:r w:rsidRPr="00BA70C1">
        <w:rPr>
          <w:rFonts w:ascii="Times New Roman" w:hAnsi="Times New Roman" w:cs="Times New Roman"/>
          <w:smallCaps/>
          <w:sz w:val="20"/>
          <w:szCs w:val="20"/>
        </w:rPr>
        <w:t>,</w:t>
      </w:r>
      <w:r w:rsidRPr="00EF740A">
        <w:rPr>
          <w:rFonts w:ascii="Times New Roman" w:hAnsi="Times New Roman" w:cs="Times New Roman"/>
          <w:i/>
          <w:sz w:val="20"/>
          <w:szCs w:val="20"/>
        </w:rPr>
        <w:t xml:space="preserve"> Situations</w:t>
      </w:r>
      <w:r w:rsidR="00F43D9C">
        <w:rPr>
          <w:rFonts w:ascii="Times New Roman" w:hAnsi="Times New Roman" w:cs="Times New Roman"/>
          <w:smallCaps/>
          <w:sz w:val="20"/>
          <w:szCs w:val="20"/>
        </w:rPr>
        <w:t xml:space="preserve"> </w:t>
      </w:r>
      <w:r w:rsidR="00F43D9C" w:rsidRPr="00BA70C1">
        <w:rPr>
          <w:rFonts w:ascii="Times New Roman" w:hAnsi="Times New Roman" w:cs="Times New Roman"/>
          <w:sz w:val="20"/>
          <w:szCs w:val="20"/>
        </w:rPr>
        <w:t>(</w:t>
      </w:r>
      <w:r w:rsidR="00F43D9C">
        <w:rPr>
          <w:rFonts w:ascii="Times New Roman" w:hAnsi="Times New Roman" w:cs="Times New Roman"/>
          <w:sz w:val="20"/>
          <w:szCs w:val="20"/>
        </w:rPr>
        <w:t>Oct. 15, 2016)</w:t>
      </w:r>
      <w:r w:rsidRPr="00BA70C1">
        <w:rPr>
          <w:rFonts w:ascii="Times New Roman" w:hAnsi="Times New Roman" w:cs="Times New Roman"/>
          <w:smallCaps/>
          <w:sz w:val="20"/>
          <w:szCs w:val="20"/>
        </w:rPr>
        <w:t xml:space="preserve"> </w:t>
      </w:r>
      <w:r w:rsidRPr="00BA70C1">
        <w:rPr>
          <w:rFonts w:ascii="Times New Roman" w:hAnsi="Times New Roman" w:cs="Times New Roman"/>
          <w:sz w:val="20"/>
          <w:szCs w:val="20"/>
        </w:rPr>
        <w:t>https://www.icc-cpi.int/pages/situations.aspx</w:t>
      </w:r>
      <w:r w:rsidR="00F43D9C">
        <w:rPr>
          <w:rFonts w:ascii="Times New Roman" w:hAnsi="Times New Roman" w:cs="Times New Roman"/>
          <w:sz w:val="20"/>
          <w:szCs w:val="20"/>
        </w:rPr>
        <w:t>.</w:t>
      </w:r>
      <w:r w:rsidRPr="00BA70C1">
        <w:rPr>
          <w:rFonts w:ascii="Times New Roman" w:hAnsi="Times New Roman" w:cs="Times New Roman"/>
          <w:sz w:val="20"/>
          <w:szCs w:val="20"/>
        </w:rPr>
        <w:t xml:space="preserve"> </w:t>
      </w:r>
    </w:p>
  </w:footnote>
  <w:footnote w:id="88">
    <w:p w14:paraId="09A3678B" w14:textId="346F1DDE" w:rsidR="00802DBC" w:rsidRPr="00554E57" w:rsidRDefault="00802DBC" w:rsidP="00554E57">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BA70C1">
        <w:rPr>
          <w:rFonts w:ascii="Times New Roman" w:hAnsi="Times New Roman" w:cs="Times New Roman"/>
          <w:i/>
          <w:sz w:val="20"/>
          <w:szCs w:val="20"/>
        </w:rPr>
        <w:t>How the Court Works</w:t>
      </w:r>
      <w:r w:rsidRPr="00BA70C1">
        <w:rPr>
          <w:rFonts w:ascii="Times New Roman" w:hAnsi="Times New Roman" w:cs="Times New Roman"/>
          <w:sz w:val="20"/>
          <w:szCs w:val="20"/>
        </w:rPr>
        <w:t xml:space="preserve">, </w:t>
      </w:r>
      <w:r>
        <w:rPr>
          <w:rFonts w:ascii="Times New Roman" w:hAnsi="Times New Roman" w:cs="Times New Roman"/>
          <w:i/>
          <w:iCs/>
          <w:sz w:val="20"/>
          <w:szCs w:val="20"/>
        </w:rPr>
        <w:t>supra</w:t>
      </w:r>
      <w:r>
        <w:rPr>
          <w:rFonts w:ascii="Times New Roman" w:hAnsi="Times New Roman" w:cs="Times New Roman"/>
          <w:sz w:val="20"/>
          <w:szCs w:val="20"/>
        </w:rPr>
        <w:t xml:space="preserve"> note 81.</w:t>
      </w:r>
    </w:p>
  </w:footnote>
  <w:footnote w:id="89">
    <w:p w14:paraId="534D93A7" w14:textId="37E6C113" w:rsidR="00802DBC" w:rsidRPr="00CA2399" w:rsidRDefault="00802DBC" w:rsidP="00105584">
      <w:pPr>
        <w:pStyle w:val="FootnoteText"/>
        <w:ind w:firstLine="144"/>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EF740A">
        <w:rPr>
          <w:rFonts w:asciiTheme="majorBidi" w:hAnsiTheme="majorBidi" w:cstheme="majorBidi"/>
          <w:i/>
          <w:iCs/>
          <w:sz w:val="20"/>
          <w:szCs w:val="20"/>
        </w:rPr>
        <w:t>Id</w:t>
      </w:r>
      <w:r w:rsidRPr="00EF740A">
        <w:rPr>
          <w:rFonts w:asciiTheme="majorBidi" w:hAnsiTheme="majorBidi" w:cstheme="majorBidi"/>
          <w:sz w:val="20"/>
          <w:szCs w:val="20"/>
        </w:rPr>
        <w:t>.</w:t>
      </w:r>
    </w:p>
  </w:footnote>
  <w:footnote w:id="90">
    <w:p w14:paraId="2161A57A" w14:textId="76191C26" w:rsidR="00802DBC" w:rsidRPr="000C04E4" w:rsidRDefault="00802DBC" w:rsidP="00CE38AF">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BA70C1">
        <w:rPr>
          <w:rFonts w:ascii="Times New Roman" w:hAnsi="Times New Roman" w:cs="Times New Roman"/>
          <w:smallCaps/>
          <w:sz w:val="20"/>
          <w:szCs w:val="20"/>
        </w:rPr>
        <w:t>Int</w:t>
      </w:r>
      <w:r>
        <w:rPr>
          <w:rFonts w:ascii="Times New Roman" w:hAnsi="Times New Roman" w:cs="Times New Roman"/>
          <w:smallCaps/>
          <w:sz w:val="20"/>
          <w:szCs w:val="20"/>
        </w:rPr>
        <w:t>’</w:t>
      </w:r>
      <w:r w:rsidRPr="00BA70C1">
        <w:rPr>
          <w:rFonts w:ascii="Times New Roman" w:hAnsi="Times New Roman" w:cs="Times New Roman"/>
          <w:smallCaps/>
          <w:sz w:val="20"/>
          <w:szCs w:val="20"/>
        </w:rPr>
        <w:t xml:space="preserve">l </w:t>
      </w:r>
      <w:r>
        <w:rPr>
          <w:rFonts w:ascii="Times New Roman" w:hAnsi="Times New Roman" w:cs="Times New Roman"/>
          <w:smallCaps/>
          <w:sz w:val="20"/>
          <w:szCs w:val="20"/>
        </w:rPr>
        <w:t>Crim. Ct.</w:t>
      </w:r>
      <w:r w:rsidRPr="00BA70C1">
        <w:rPr>
          <w:rFonts w:ascii="Times New Roman" w:hAnsi="Times New Roman" w:cs="Times New Roman"/>
          <w:smallCaps/>
          <w:sz w:val="20"/>
          <w:szCs w:val="20"/>
        </w:rPr>
        <w:t>,</w:t>
      </w:r>
      <w:r w:rsidRPr="00EF740A">
        <w:rPr>
          <w:rFonts w:ascii="Times New Roman" w:hAnsi="Times New Roman" w:cs="Times New Roman"/>
          <w:i/>
          <w:sz w:val="20"/>
          <w:szCs w:val="20"/>
        </w:rPr>
        <w:t xml:space="preserve"> Situations</w:t>
      </w:r>
      <w:r w:rsidRPr="00EF740A">
        <w:rPr>
          <w:rFonts w:ascii="Times New Roman" w:hAnsi="Times New Roman" w:cs="Times New Roman"/>
          <w:sz w:val="20"/>
          <w:szCs w:val="20"/>
        </w:rPr>
        <w:t xml:space="preserve">, </w:t>
      </w:r>
      <w:r w:rsidRPr="00EF740A">
        <w:rPr>
          <w:rFonts w:ascii="Times New Roman" w:hAnsi="Times New Roman" w:cs="Times New Roman"/>
          <w:i/>
          <w:iCs/>
          <w:sz w:val="20"/>
          <w:szCs w:val="20"/>
        </w:rPr>
        <w:t>supra</w:t>
      </w:r>
      <w:r w:rsidRPr="00CA2399">
        <w:rPr>
          <w:rFonts w:ascii="Times New Roman" w:hAnsi="Times New Roman" w:cs="Times New Roman"/>
          <w:sz w:val="20"/>
          <w:szCs w:val="20"/>
        </w:rPr>
        <w:t xml:space="preserve"> note </w:t>
      </w:r>
      <w:r>
        <w:rPr>
          <w:rFonts w:ascii="Times New Roman" w:hAnsi="Times New Roman" w:cs="Times New Roman"/>
          <w:sz w:val="20"/>
          <w:szCs w:val="20"/>
        </w:rPr>
        <w:t>86</w:t>
      </w:r>
      <w:r w:rsidRPr="007B2ECC">
        <w:rPr>
          <w:rFonts w:ascii="Times New Roman" w:hAnsi="Times New Roman" w:cs="Times New Roman"/>
          <w:sz w:val="20"/>
          <w:szCs w:val="20"/>
        </w:rPr>
        <w:t xml:space="preserve">. </w:t>
      </w:r>
    </w:p>
  </w:footnote>
  <w:footnote w:id="91">
    <w:p w14:paraId="3915F3B4" w14:textId="365784E9" w:rsidR="00802DBC" w:rsidRPr="000C04E4" w:rsidRDefault="00802DBC" w:rsidP="00CE38AF">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0C04E4">
        <w:rPr>
          <w:rFonts w:ascii="Times New Roman" w:hAnsi="Times New Roman" w:cs="Times New Roman"/>
          <w:i/>
          <w:sz w:val="20"/>
          <w:szCs w:val="20"/>
        </w:rPr>
        <w:t>Id</w:t>
      </w:r>
      <w:r w:rsidRPr="000C04E4">
        <w:rPr>
          <w:rFonts w:ascii="Times New Roman" w:hAnsi="Times New Roman" w:cs="Times New Roman"/>
          <w:sz w:val="20"/>
          <w:szCs w:val="20"/>
        </w:rPr>
        <w:t xml:space="preserve">. </w:t>
      </w:r>
    </w:p>
  </w:footnote>
  <w:footnote w:id="92">
    <w:p w14:paraId="011F08E3" w14:textId="4DB6E861" w:rsidR="00802DBC" w:rsidRPr="000C04E4" w:rsidRDefault="00802DBC" w:rsidP="00CE38AF">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proofErr w:type="spellStart"/>
      <w:r w:rsidRPr="00EF740A">
        <w:rPr>
          <w:rFonts w:ascii="Times New Roman" w:hAnsi="Times New Roman" w:cs="Times New Roman"/>
          <w:sz w:val="20"/>
          <w:szCs w:val="20"/>
        </w:rPr>
        <w:t>Camila</w:t>
      </w:r>
      <w:proofErr w:type="spellEnd"/>
      <w:r w:rsidRPr="00EF740A">
        <w:rPr>
          <w:rFonts w:ascii="Times New Roman" w:hAnsi="Times New Roman" w:cs="Times New Roman"/>
          <w:sz w:val="20"/>
          <w:szCs w:val="20"/>
        </w:rPr>
        <w:t xml:space="preserve"> </w:t>
      </w:r>
      <w:proofErr w:type="spellStart"/>
      <w:r w:rsidRPr="00EF740A">
        <w:rPr>
          <w:rFonts w:ascii="Times New Roman" w:hAnsi="Times New Roman" w:cs="Times New Roman"/>
          <w:sz w:val="20"/>
          <w:szCs w:val="20"/>
        </w:rPr>
        <w:t>Domonoske</w:t>
      </w:r>
      <w:proofErr w:type="spellEnd"/>
      <w:r w:rsidRPr="00EF740A">
        <w:rPr>
          <w:rFonts w:ascii="Times New Roman" w:hAnsi="Times New Roman" w:cs="Times New Roman"/>
          <w:sz w:val="20"/>
          <w:szCs w:val="20"/>
        </w:rPr>
        <w:t xml:space="preserve">, </w:t>
      </w:r>
      <w:r w:rsidRPr="00EF740A">
        <w:rPr>
          <w:rFonts w:ascii="Times New Roman" w:hAnsi="Times New Roman" w:cs="Times New Roman"/>
          <w:i/>
          <w:sz w:val="20"/>
          <w:szCs w:val="20"/>
        </w:rPr>
        <w:t xml:space="preserve">South Africa Announces Withdrawal from </w:t>
      </w:r>
      <w:r w:rsidRPr="00CA2399">
        <w:rPr>
          <w:rFonts w:ascii="Times New Roman" w:hAnsi="Times New Roman" w:cs="Times New Roman"/>
          <w:i/>
          <w:sz w:val="20"/>
          <w:szCs w:val="20"/>
        </w:rPr>
        <w:t>International Criminal Court</w:t>
      </w:r>
      <w:r w:rsidRPr="00DF383F">
        <w:rPr>
          <w:rFonts w:ascii="Times New Roman" w:hAnsi="Times New Roman" w:cs="Times New Roman"/>
          <w:sz w:val="20"/>
          <w:szCs w:val="20"/>
        </w:rPr>
        <w:t xml:space="preserve">, </w:t>
      </w:r>
      <w:r>
        <w:rPr>
          <w:rFonts w:ascii="Times New Roman" w:hAnsi="Times New Roman" w:cs="Times New Roman"/>
          <w:sz w:val="20"/>
          <w:szCs w:val="20"/>
        </w:rPr>
        <w:t xml:space="preserve">NPR: </w:t>
      </w:r>
      <w:r w:rsidRPr="007B2ECC">
        <w:rPr>
          <w:rFonts w:ascii="Times New Roman" w:hAnsi="Times New Roman" w:cs="Times New Roman"/>
          <w:smallCaps/>
          <w:sz w:val="20"/>
          <w:szCs w:val="20"/>
        </w:rPr>
        <w:t xml:space="preserve">The Two-Way </w:t>
      </w:r>
      <w:r w:rsidRPr="007B2ECC">
        <w:rPr>
          <w:rFonts w:ascii="Times New Roman" w:hAnsi="Times New Roman" w:cs="Times New Roman"/>
          <w:sz w:val="20"/>
          <w:szCs w:val="20"/>
        </w:rPr>
        <w:t>(Oct. 21 2016), http://www.npr.org/sections/thetwo-way/2016/10/21/498817513/south-africa-announces-withdrawal-from-internation</w:t>
      </w:r>
      <w:r w:rsidRPr="00102CE6">
        <w:rPr>
          <w:rFonts w:ascii="Times New Roman" w:hAnsi="Times New Roman" w:cs="Times New Roman"/>
          <w:sz w:val="20"/>
          <w:szCs w:val="20"/>
        </w:rPr>
        <w:t xml:space="preserve">al-criminal-court </w:t>
      </w:r>
    </w:p>
  </w:footnote>
  <w:footnote w:id="93">
    <w:p w14:paraId="081975F4" w14:textId="05E60AAA" w:rsidR="00802DBC" w:rsidRPr="000C04E4" w:rsidRDefault="00802DBC" w:rsidP="00CE38AF">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0C04E4">
        <w:rPr>
          <w:rFonts w:ascii="Times New Roman" w:hAnsi="Times New Roman" w:cs="Times New Roman"/>
          <w:smallCaps/>
          <w:sz w:val="20"/>
          <w:szCs w:val="20"/>
        </w:rPr>
        <w:t xml:space="preserve">ICISS, </w:t>
      </w:r>
      <w:r w:rsidRPr="000C04E4">
        <w:rPr>
          <w:rFonts w:ascii="Times New Roman" w:hAnsi="Times New Roman" w:cs="Times New Roman"/>
          <w:i/>
          <w:iCs/>
          <w:sz w:val="20"/>
          <w:szCs w:val="20"/>
        </w:rPr>
        <w:t xml:space="preserve">supra </w:t>
      </w:r>
      <w:r w:rsidRPr="000C04E4">
        <w:rPr>
          <w:rFonts w:ascii="Times New Roman" w:hAnsi="Times New Roman" w:cs="Times New Roman"/>
          <w:sz w:val="20"/>
          <w:szCs w:val="20"/>
        </w:rPr>
        <w:t>note 4.</w:t>
      </w:r>
    </w:p>
  </w:footnote>
  <w:footnote w:id="94">
    <w:p w14:paraId="2509CAB4" w14:textId="7CFDA647" w:rsidR="00802DBC" w:rsidRPr="000C04E4" w:rsidRDefault="00802DBC" w:rsidP="00CE38AF">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0C04E4">
        <w:rPr>
          <w:rFonts w:ascii="Times New Roman" w:hAnsi="Times New Roman" w:cs="Times New Roman"/>
          <w:smallCaps/>
          <w:sz w:val="20"/>
          <w:szCs w:val="20"/>
        </w:rPr>
        <w:t xml:space="preserve"> </w:t>
      </w:r>
      <w:r w:rsidRPr="000C04E4">
        <w:rPr>
          <w:rFonts w:ascii="Times New Roman" w:hAnsi="Times New Roman" w:cs="Times New Roman"/>
          <w:i/>
          <w:sz w:val="20"/>
          <w:szCs w:val="20"/>
        </w:rPr>
        <w:t xml:space="preserve">See generally </w:t>
      </w:r>
      <w:r>
        <w:rPr>
          <w:rFonts w:ascii="Times New Roman" w:hAnsi="Times New Roman" w:cs="Times New Roman"/>
          <w:i/>
          <w:sz w:val="20"/>
          <w:szCs w:val="20"/>
        </w:rPr>
        <w:t>i</w:t>
      </w:r>
      <w:r w:rsidRPr="000C04E4">
        <w:rPr>
          <w:rFonts w:ascii="Times New Roman" w:hAnsi="Times New Roman" w:cs="Times New Roman"/>
          <w:i/>
          <w:sz w:val="20"/>
          <w:szCs w:val="20"/>
        </w:rPr>
        <w:t>d.</w:t>
      </w:r>
    </w:p>
  </w:footnote>
  <w:footnote w:id="95">
    <w:p w14:paraId="0A57E6B4" w14:textId="73EB63A6" w:rsidR="00802DBC" w:rsidRPr="000C04E4" w:rsidRDefault="00802DBC" w:rsidP="00CE38AF">
      <w:pPr>
        <w:pStyle w:val="FootnoteText"/>
        <w:ind w:firstLine="144"/>
        <w:jc w:val="both"/>
        <w:rPr>
          <w:rFonts w:ascii="Times New Roman" w:hAnsi="Times New Roman" w:cs="Times New Roman"/>
          <w:i/>
          <w:iCs/>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0C04E4">
        <w:rPr>
          <w:rFonts w:ascii="Times New Roman" w:hAnsi="Times New Roman" w:cs="Times New Roman"/>
          <w:i/>
          <w:iCs/>
          <w:sz w:val="20"/>
          <w:szCs w:val="20"/>
        </w:rPr>
        <w:t>Id.</w:t>
      </w:r>
    </w:p>
  </w:footnote>
  <w:footnote w:id="96">
    <w:p w14:paraId="5D53523B" w14:textId="6BB6B99D" w:rsidR="00802DBC" w:rsidRPr="000C04E4" w:rsidRDefault="00802DBC" w:rsidP="00CE38AF">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0C04E4">
        <w:rPr>
          <w:rFonts w:ascii="Times New Roman" w:hAnsi="Times New Roman" w:cs="Times New Roman"/>
          <w:i/>
          <w:sz w:val="20"/>
          <w:szCs w:val="20"/>
        </w:rPr>
        <w:t>Id</w:t>
      </w:r>
      <w:r w:rsidRPr="000C04E4">
        <w:rPr>
          <w:rFonts w:ascii="Times New Roman" w:hAnsi="Times New Roman" w:cs="Times New Roman"/>
          <w:sz w:val="20"/>
          <w:szCs w:val="20"/>
        </w:rPr>
        <w:t>.</w:t>
      </w:r>
    </w:p>
  </w:footnote>
  <w:footnote w:id="97">
    <w:p w14:paraId="760B98BC" w14:textId="548E1F24" w:rsidR="00802DBC" w:rsidRPr="000C04E4" w:rsidRDefault="00802DBC" w:rsidP="00CE38AF">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0C04E4">
        <w:rPr>
          <w:rFonts w:ascii="Times New Roman" w:hAnsi="Times New Roman" w:cs="Times New Roman"/>
          <w:i/>
          <w:sz w:val="20"/>
          <w:szCs w:val="20"/>
        </w:rPr>
        <w:t>Id</w:t>
      </w:r>
      <w:r w:rsidRPr="000C04E4">
        <w:rPr>
          <w:rFonts w:ascii="Times New Roman" w:hAnsi="Times New Roman" w:cs="Times New Roman"/>
          <w:sz w:val="20"/>
          <w:szCs w:val="20"/>
        </w:rPr>
        <w:t>.</w:t>
      </w:r>
    </w:p>
  </w:footnote>
  <w:footnote w:id="98">
    <w:p w14:paraId="60D721C2" w14:textId="7814D8B1" w:rsidR="00802DBC" w:rsidRPr="000C04E4" w:rsidRDefault="00802DBC" w:rsidP="00CE38AF">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0C04E4">
        <w:rPr>
          <w:rFonts w:ascii="Times New Roman" w:hAnsi="Times New Roman" w:cs="Times New Roman"/>
          <w:i/>
          <w:iCs/>
          <w:sz w:val="20"/>
          <w:szCs w:val="20"/>
        </w:rPr>
        <w:t>Id</w:t>
      </w:r>
      <w:r>
        <w:rPr>
          <w:rFonts w:ascii="Times New Roman" w:hAnsi="Times New Roman" w:cs="Times New Roman"/>
          <w:iCs/>
          <w:sz w:val="20"/>
          <w:szCs w:val="20"/>
        </w:rPr>
        <w:t>.</w:t>
      </w:r>
      <w:r w:rsidRPr="000C04E4">
        <w:rPr>
          <w:rFonts w:ascii="Times New Roman" w:hAnsi="Times New Roman" w:cs="Times New Roman"/>
          <w:i/>
          <w:iCs/>
          <w:sz w:val="20"/>
          <w:szCs w:val="20"/>
        </w:rPr>
        <w:t xml:space="preserve"> </w:t>
      </w:r>
      <w:r w:rsidRPr="000C04E4">
        <w:rPr>
          <w:rFonts w:ascii="Times New Roman" w:hAnsi="Times New Roman" w:cs="Times New Roman"/>
          <w:sz w:val="20"/>
          <w:szCs w:val="20"/>
        </w:rPr>
        <w:t xml:space="preserve">at </w:t>
      </w:r>
      <w:r w:rsidRPr="000C04E4">
        <w:rPr>
          <w:rFonts w:ascii="Times New Roman" w:hAnsi="Times New Roman" w:cs="Times New Roman"/>
          <w:smallCaps/>
          <w:sz w:val="20"/>
          <w:szCs w:val="20"/>
        </w:rPr>
        <w:t xml:space="preserve">19. </w:t>
      </w:r>
    </w:p>
  </w:footnote>
  <w:footnote w:id="99">
    <w:p w14:paraId="6BFFBB0C" w14:textId="0EDD9365" w:rsidR="00802DBC" w:rsidRPr="000C04E4" w:rsidRDefault="00802DBC" w:rsidP="00CE38AF">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0C04E4">
        <w:rPr>
          <w:rFonts w:ascii="Times New Roman" w:hAnsi="Times New Roman" w:cs="Times New Roman"/>
          <w:i/>
          <w:sz w:val="20"/>
          <w:szCs w:val="20"/>
        </w:rPr>
        <w:t>See generally</w:t>
      </w:r>
      <w:r w:rsidRPr="000C04E4">
        <w:rPr>
          <w:rFonts w:ascii="Times New Roman" w:hAnsi="Times New Roman" w:cs="Times New Roman"/>
          <w:sz w:val="20"/>
          <w:szCs w:val="20"/>
        </w:rPr>
        <w:t xml:space="preserve"> Galis et. al., </w:t>
      </w:r>
      <w:r w:rsidRPr="000C04E4">
        <w:rPr>
          <w:rFonts w:ascii="Times New Roman" w:hAnsi="Times New Roman" w:cs="Times New Roman"/>
          <w:i/>
          <w:iCs/>
          <w:sz w:val="20"/>
          <w:szCs w:val="20"/>
        </w:rPr>
        <w:t xml:space="preserve">supra </w:t>
      </w:r>
      <w:r w:rsidRPr="000C04E4">
        <w:rPr>
          <w:rFonts w:ascii="Times New Roman" w:hAnsi="Times New Roman" w:cs="Times New Roman"/>
          <w:sz w:val="20"/>
          <w:szCs w:val="20"/>
        </w:rPr>
        <w:t>note 1.</w:t>
      </w:r>
    </w:p>
  </w:footnote>
  <w:footnote w:id="100">
    <w:p w14:paraId="0A6D9948" w14:textId="29E0F837" w:rsidR="00802DBC" w:rsidRPr="000C04E4" w:rsidRDefault="00802DBC" w:rsidP="00CE38AF">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0C04E4">
        <w:rPr>
          <w:rFonts w:ascii="Times New Roman" w:hAnsi="Times New Roman" w:cs="Times New Roman"/>
          <w:i/>
          <w:sz w:val="20"/>
          <w:szCs w:val="20"/>
        </w:rPr>
        <w:t>See generally</w:t>
      </w:r>
      <w:r w:rsidRPr="000C04E4">
        <w:rPr>
          <w:rFonts w:ascii="Times New Roman" w:hAnsi="Times New Roman" w:cs="Times New Roman"/>
          <w:sz w:val="20"/>
          <w:szCs w:val="20"/>
        </w:rPr>
        <w:t xml:space="preserve"> </w:t>
      </w:r>
      <w:r w:rsidRPr="000C04E4">
        <w:rPr>
          <w:rFonts w:ascii="Times New Roman" w:hAnsi="Times New Roman" w:cs="Times New Roman"/>
          <w:smallCaps/>
          <w:sz w:val="20"/>
          <w:szCs w:val="20"/>
        </w:rPr>
        <w:t xml:space="preserve">ICISS, </w:t>
      </w:r>
      <w:r w:rsidRPr="000C04E4">
        <w:rPr>
          <w:rFonts w:ascii="Times New Roman" w:hAnsi="Times New Roman" w:cs="Times New Roman"/>
          <w:i/>
          <w:iCs/>
          <w:sz w:val="20"/>
          <w:szCs w:val="20"/>
        </w:rPr>
        <w:t xml:space="preserve">supra </w:t>
      </w:r>
      <w:r w:rsidRPr="000C04E4">
        <w:rPr>
          <w:rFonts w:ascii="Times New Roman" w:hAnsi="Times New Roman" w:cs="Times New Roman"/>
          <w:sz w:val="20"/>
          <w:szCs w:val="20"/>
        </w:rPr>
        <w:t>note 4.</w:t>
      </w:r>
    </w:p>
  </w:footnote>
  <w:footnote w:id="101">
    <w:p w14:paraId="7FEB2E5C" w14:textId="369F2ABA" w:rsidR="00802DBC" w:rsidRPr="00445C4C" w:rsidRDefault="00802DBC" w:rsidP="00CE38AF">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CA2399">
        <w:rPr>
          <w:rFonts w:ascii="Times New Roman" w:hAnsi="Times New Roman" w:cs="Times New Roman"/>
          <w:i/>
          <w:sz w:val="20"/>
          <w:szCs w:val="20"/>
        </w:rPr>
        <w:t>Id</w:t>
      </w:r>
      <w:r>
        <w:rPr>
          <w:rFonts w:ascii="Times New Roman" w:hAnsi="Times New Roman" w:cs="Times New Roman"/>
          <w:sz w:val="20"/>
          <w:szCs w:val="20"/>
        </w:rPr>
        <w:t>.</w:t>
      </w:r>
    </w:p>
  </w:footnote>
  <w:footnote w:id="102">
    <w:p w14:paraId="16E9E942" w14:textId="59AF6E11" w:rsidR="00802DBC" w:rsidRPr="000C04E4" w:rsidRDefault="00802DBC" w:rsidP="00CE38AF">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0C04E4">
        <w:rPr>
          <w:rFonts w:ascii="Times New Roman" w:hAnsi="Times New Roman" w:cs="Times New Roman"/>
          <w:i/>
          <w:sz w:val="20"/>
          <w:szCs w:val="20"/>
        </w:rPr>
        <w:t>Id</w:t>
      </w:r>
      <w:r w:rsidRPr="000C04E4">
        <w:rPr>
          <w:rFonts w:ascii="Times New Roman" w:hAnsi="Times New Roman" w:cs="Times New Roman"/>
          <w:sz w:val="20"/>
          <w:szCs w:val="20"/>
        </w:rPr>
        <w:t>.</w:t>
      </w:r>
    </w:p>
  </w:footnote>
  <w:footnote w:id="103">
    <w:p w14:paraId="08C06BCC" w14:textId="1336E5C2" w:rsidR="00802DBC" w:rsidRPr="000C04E4" w:rsidRDefault="00802DBC" w:rsidP="00CE38AF">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0C04E4">
        <w:rPr>
          <w:rFonts w:ascii="Times New Roman" w:hAnsi="Times New Roman" w:cs="Times New Roman"/>
          <w:i/>
          <w:sz w:val="20"/>
          <w:szCs w:val="20"/>
        </w:rPr>
        <w:t>Id</w:t>
      </w:r>
      <w:r w:rsidRPr="000C04E4">
        <w:rPr>
          <w:rFonts w:ascii="Times New Roman" w:hAnsi="Times New Roman" w:cs="Times New Roman"/>
          <w:sz w:val="20"/>
          <w:szCs w:val="20"/>
        </w:rPr>
        <w:t>.</w:t>
      </w:r>
    </w:p>
  </w:footnote>
  <w:footnote w:id="104">
    <w:p w14:paraId="44FC8475" w14:textId="3C190231" w:rsidR="00802DBC" w:rsidRPr="000C04E4" w:rsidRDefault="00802DBC" w:rsidP="00CE38AF">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0C04E4">
        <w:rPr>
          <w:rFonts w:ascii="Times New Roman" w:hAnsi="Times New Roman" w:cs="Times New Roman"/>
          <w:i/>
          <w:sz w:val="20"/>
          <w:szCs w:val="20"/>
        </w:rPr>
        <w:t>Id</w:t>
      </w:r>
      <w:r w:rsidRPr="000C04E4">
        <w:rPr>
          <w:rFonts w:ascii="Times New Roman" w:hAnsi="Times New Roman" w:cs="Times New Roman"/>
          <w:sz w:val="20"/>
          <w:szCs w:val="20"/>
        </w:rPr>
        <w:t>.</w:t>
      </w:r>
    </w:p>
  </w:footnote>
  <w:footnote w:id="105">
    <w:p w14:paraId="693B6633" w14:textId="5C91D84C" w:rsidR="00802DBC" w:rsidRPr="000C04E4" w:rsidRDefault="00802DBC" w:rsidP="00CE38AF">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0C04E4">
        <w:rPr>
          <w:rFonts w:ascii="Times New Roman" w:hAnsi="Times New Roman" w:cs="Times New Roman"/>
          <w:i/>
          <w:sz w:val="20"/>
          <w:szCs w:val="20"/>
        </w:rPr>
        <w:t>Id</w:t>
      </w:r>
      <w:r w:rsidRPr="000C04E4">
        <w:rPr>
          <w:rFonts w:ascii="Times New Roman" w:hAnsi="Times New Roman" w:cs="Times New Roman"/>
          <w:sz w:val="20"/>
          <w:szCs w:val="20"/>
        </w:rPr>
        <w:t>.</w:t>
      </w:r>
    </w:p>
  </w:footnote>
  <w:footnote w:id="106">
    <w:p w14:paraId="56C5615C" w14:textId="54490C4D" w:rsidR="00802DBC" w:rsidRPr="000C04E4" w:rsidRDefault="00802DBC" w:rsidP="00CE38AF">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0C04E4">
        <w:rPr>
          <w:rFonts w:ascii="Times New Roman" w:hAnsi="Times New Roman" w:cs="Times New Roman"/>
          <w:i/>
          <w:sz w:val="20"/>
          <w:szCs w:val="20"/>
        </w:rPr>
        <w:t>See generally</w:t>
      </w:r>
      <w:r w:rsidRPr="000C04E4">
        <w:rPr>
          <w:rFonts w:ascii="Times New Roman" w:hAnsi="Times New Roman" w:cs="Times New Roman"/>
          <w:sz w:val="20"/>
          <w:szCs w:val="20"/>
        </w:rPr>
        <w:t xml:space="preserve"> </w:t>
      </w:r>
      <w:r w:rsidRPr="000C04E4">
        <w:rPr>
          <w:rFonts w:ascii="Times New Roman" w:hAnsi="Times New Roman" w:cs="Times New Roman"/>
          <w:smallCaps/>
          <w:sz w:val="20"/>
          <w:szCs w:val="20"/>
        </w:rPr>
        <w:t xml:space="preserve">ICISS, </w:t>
      </w:r>
      <w:r w:rsidRPr="000C04E4">
        <w:rPr>
          <w:rFonts w:ascii="Times New Roman" w:hAnsi="Times New Roman" w:cs="Times New Roman"/>
          <w:i/>
          <w:iCs/>
          <w:sz w:val="20"/>
          <w:szCs w:val="20"/>
        </w:rPr>
        <w:t xml:space="preserve">supra </w:t>
      </w:r>
      <w:r w:rsidRPr="000C04E4">
        <w:rPr>
          <w:rFonts w:ascii="Times New Roman" w:hAnsi="Times New Roman" w:cs="Times New Roman"/>
          <w:sz w:val="20"/>
          <w:szCs w:val="20"/>
        </w:rPr>
        <w:t xml:space="preserve">note 4, at </w:t>
      </w:r>
      <w:r w:rsidRPr="000C04E4">
        <w:rPr>
          <w:rFonts w:ascii="Times New Roman" w:hAnsi="Times New Roman" w:cs="Times New Roman"/>
          <w:smallCaps/>
          <w:sz w:val="20"/>
          <w:szCs w:val="20"/>
        </w:rPr>
        <w:t xml:space="preserve">13. </w:t>
      </w:r>
    </w:p>
  </w:footnote>
  <w:footnote w:id="107">
    <w:p w14:paraId="1571F78A" w14:textId="33D32748" w:rsidR="00802DBC" w:rsidRPr="000C04E4" w:rsidRDefault="00802DBC" w:rsidP="00CE38AF">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0C04E4">
        <w:rPr>
          <w:rFonts w:ascii="Times New Roman" w:hAnsi="Times New Roman" w:cs="Times New Roman"/>
          <w:i/>
          <w:sz w:val="20"/>
          <w:szCs w:val="20"/>
        </w:rPr>
        <w:t>Id</w:t>
      </w:r>
      <w:r w:rsidRPr="000C04E4">
        <w:rPr>
          <w:rFonts w:ascii="Times New Roman" w:hAnsi="Times New Roman" w:cs="Times New Roman"/>
          <w:sz w:val="20"/>
          <w:szCs w:val="20"/>
        </w:rPr>
        <w:t>.</w:t>
      </w:r>
    </w:p>
  </w:footnote>
  <w:footnote w:id="108">
    <w:p w14:paraId="52FBB93C" w14:textId="712C5057" w:rsidR="00802DBC" w:rsidRPr="000C04E4" w:rsidRDefault="00802DBC" w:rsidP="00CE38AF">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0C04E4">
        <w:rPr>
          <w:rFonts w:ascii="Times New Roman" w:hAnsi="Times New Roman" w:cs="Times New Roman"/>
          <w:i/>
          <w:sz w:val="20"/>
          <w:szCs w:val="20"/>
        </w:rPr>
        <w:t>Id</w:t>
      </w:r>
      <w:r w:rsidRPr="000C04E4">
        <w:rPr>
          <w:rFonts w:ascii="Times New Roman" w:hAnsi="Times New Roman" w:cs="Times New Roman"/>
          <w:sz w:val="20"/>
          <w:szCs w:val="20"/>
        </w:rPr>
        <w:t>.</w:t>
      </w:r>
    </w:p>
  </w:footnote>
  <w:footnote w:id="109">
    <w:p w14:paraId="65231DB0" w14:textId="6D6BACC7" w:rsidR="00802DBC" w:rsidRPr="000C04E4" w:rsidRDefault="00802DBC" w:rsidP="00CE38AF">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0C04E4">
        <w:rPr>
          <w:rFonts w:ascii="Times New Roman" w:hAnsi="Times New Roman" w:cs="Times New Roman"/>
          <w:i/>
          <w:sz w:val="20"/>
          <w:szCs w:val="20"/>
        </w:rPr>
        <w:t>Id</w:t>
      </w:r>
      <w:r w:rsidRPr="000C04E4">
        <w:rPr>
          <w:rFonts w:ascii="Times New Roman" w:hAnsi="Times New Roman" w:cs="Times New Roman"/>
          <w:sz w:val="20"/>
          <w:szCs w:val="20"/>
        </w:rPr>
        <w:t xml:space="preserve">. The </w:t>
      </w:r>
      <w:r>
        <w:rPr>
          <w:rFonts w:ascii="Times New Roman" w:hAnsi="Times New Roman" w:cs="Times New Roman"/>
          <w:sz w:val="20"/>
          <w:szCs w:val="20"/>
        </w:rPr>
        <w:t>C</w:t>
      </w:r>
      <w:r w:rsidRPr="000C04E4">
        <w:rPr>
          <w:rFonts w:ascii="Times New Roman" w:hAnsi="Times New Roman" w:cs="Times New Roman"/>
          <w:sz w:val="20"/>
          <w:szCs w:val="20"/>
        </w:rPr>
        <w:t xml:space="preserve">ommission states that the outcome of intervention should be the furtherance of the well-being of the civilian population, not the furtherance of the goals of the international community or of the intervening state(s). </w:t>
      </w:r>
    </w:p>
  </w:footnote>
  <w:footnote w:id="110">
    <w:p w14:paraId="572E4957" w14:textId="64ABD1A0" w:rsidR="00802DBC" w:rsidRPr="000C04E4" w:rsidRDefault="00802DBC" w:rsidP="00CE38AF">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0C04E4">
        <w:rPr>
          <w:rFonts w:ascii="Times New Roman" w:hAnsi="Times New Roman" w:cs="Times New Roman"/>
          <w:i/>
          <w:iCs/>
          <w:sz w:val="20"/>
          <w:szCs w:val="20"/>
        </w:rPr>
        <w:t>Id</w:t>
      </w:r>
      <w:r w:rsidRPr="000C04E4">
        <w:rPr>
          <w:rFonts w:ascii="Times New Roman" w:hAnsi="Times New Roman" w:cs="Times New Roman"/>
          <w:iCs/>
          <w:sz w:val="20"/>
          <w:szCs w:val="20"/>
        </w:rPr>
        <w:t>.</w:t>
      </w:r>
      <w:r w:rsidRPr="000C04E4">
        <w:rPr>
          <w:rFonts w:ascii="Times New Roman" w:hAnsi="Times New Roman" w:cs="Times New Roman"/>
          <w:sz w:val="20"/>
          <w:szCs w:val="20"/>
        </w:rPr>
        <w:t xml:space="preserve"> at 20.</w:t>
      </w:r>
    </w:p>
  </w:footnote>
  <w:footnote w:id="111">
    <w:p w14:paraId="2DF4AD84" w14:textId="453984FD" w:rsidR="00802DBC" w:rsidRPr="00617B68" w:rsidRDefault="00802DBC" w:rsidP="00124298">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617B68">
        <w:rPr>
          <w:rFonts w:ascii="Times New Roman" w:hAnsi="Times New Roman" w:cs="Times New Roman"/>
          <w:i/>
          <w:sz w:val="20"/>
          <w:szCs w:val="20"/>
        </w:rPr>
        <w:t>Id</w:t>
      </w:r>
      <w:r w:rsidRPr="00617B68">
        <w:rPr>
          <w:rFonts w:ascii="Times New Roman" w:hAnsi="Times New Roman" w:cs="Times New Roman"/>
          <w:sz w:val="20"/>
          <w:szCs w:val="20"/>
        </w:rPr>
        <w:t>.</w:t>
      </w:r>
      <w:r w:rsidRPr="00617B68">
        <w:rPr>
          <w:rFonts w:ascii="Times New Roman" w:hAnsi="Times New Roman" w:cs="Times New Roman"/>
          <w:i/>
          <w:sz w:val="20"/>
          <w:szCs w:val="20"/>
        </w:rPr>
        <w:t xml:space="preserve"> </w:t>
      </w:r>
      <w:r>
        <w:rPr>
          <w:rFonts w:ascii="Times New Roman" w:hAnsi="Times New Roman" w:cs="Times New Roman"/>
          <w:sz w:val="20"/>
          <w:szCs w:val="20"/>
        </w:rPr>
        <w:t>S</w:t>
      </w:r>
      <w:r w:rsidRPr="00617B68">
        <w:rPr>
          <w:rFonts w:ascii="Times New Roman" w:hAnsi="Times New Roman" w:cs="Times New Roman"/>
          <w:sz w:val="20"/>
          <w:szCs w:val="20"/>
        </w:rPr>
        <w:t xml:space="preserve">ystem of early warning </w:t>
      </w:r>
      <w:r>
        <w:rPr>
          <w:rFonts w:ascii="Times New Roman" w:hAnsi="Times New Roman" w:cs="Times New Roman"/>
          <w:sz w:val="20"/>
          <w:szCs w:val="20"/>
        </w:rPr>
        <w:t xml:space="preserve">addressed in </w:t>
      </w:r>
      <w:r w:rsidRPr="00617B68">
        <w:rPr>
          <w:rFonts w:ascii="Times New Roman" w:hAnsi="Times New Roman" w:cs="Times New Roman"/>
          <w:sz w:val="20"/>
          <w:szCs w:val="20"/>
        </w:rPr>
        <w:t xml:space="preserve">Section IV, </w:t>
      </w:r>
      <w:r w:rsidRPr="00617B68">
        <w:rPr>
          <w:rFonts w:ascii="Times New Roman" w:hAnsi="Times New Roman" w:cs="Times New Roman"/>
          <w:i/>
          <w:iCs/>
          <w:sz w:val="20"/>
          <w:szCs w:val="20"/>
        </w:rPr>
        <w:t>infra</w:t>
      </w:r>
      <w:r w:rsidRPr="00617B68">
        <w:rPr>
          <w:rFonts w:ascii="Times New Roman" w:hAnsi="Times New Roman" w:cs="Times New Roman"/>
          <w:sz w:val="20"/>
          <w:szCs w:val="20"/>
        </w:rPr>
        <w:t>.</w:t>
      </w:r>
    </w:p>
  </w:footnote>
  <w:footnote w:id="112">
    <w:p w14:paraId="7772D8EB" w14:textId="56D04940" w:rsidR="00802DBC" w:rsidRPr="00617B68" w:rsidRDefault="00802DBC" w:rsidP="00CE38AF">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617B68">
        <w:rPr>
          <w:rFonts w:ascii="Times New Roman" w:hAnsi="Times New Roman" w:cs="Times New Roman"/>
          <w:smallCaps/>
          <w:sz w:val="20"/>
          <w:szCs w:val="20"/>
        </w:rPr>
        <w:t xml:space="preserve">ICISS, </w:t>
      </w:r>
      <w:r w:rsidRPr="00617B68">
        <w:rPr>
          <w:rFonts w:ascii="Times New Roman" w:hAnsi="Times New Roman" w:cs="Times New Roman"/>
          <w:i/>
          <w:iCs/>
          <w:sz w:val="20"/>
          <w:szCs w:val="20"/>
        </w:rPr>
        <w:t xml:space="preserve">supra </w:t>
      </w:r>
      <w:r w:rsidRPr="00617B68">
        <w:rPr>
          <w:rFonts w:ascii="Times New Roman" w:hAnsi="Times New Roman" w:cs="Times New Roman"/>
          <w:sz w:val="20"/>
          <w:szCs w:val="20"/>
        </w:rPr>
        <w:t>note 4, at</w:t>
      </w:r>
      <w:r w:rsidRPr="00617B68">
        <w:rPr>
          <w:rFonts w:ascii="Times New Roman" w:hAnsi="Times New Roman" w:cs="Times New Roman"/>
          <w:smallCaps/>
          <w:sz w:val="20"/>
          <w:szCs w:val="20"/>
        </w:rPr>
        <w:t xml:space="preserve"> 23</w:t>
      </w:r>
      <w:r>
        <w:rPr>
          <w:rFonts w:ascii="Times New Roman" w:hAnsi="Times New Roman" w:cs="Times New Roman"/>
          <w:smallCaps/>
          <w:sz w:val="20"/>
          <w:szCs w:val="20"/>
        </w:rPr>
        <w:t>–</w:t>
      </w:r>
      <w:r w:rsidRPr="00617B68">
        <w:rPr>
          <w:rFonts w:ascii="Times New Roman" w:hAnsi="Times New Roman" w:cs="Times New Roman"/>
          <w:smallCaps/>
          <w:sz w:val="20"/>
          <w:szCs w:val="20"/>
        </w:rPr>
        <w:t xml:space="preserve">25. </w:t>
      </w:r>
    </w:p>
  </w:footnote>
  <w:footnote w:id="113">
    <w:p w14:paraId="49F81A46" w14:textId="09105B0E" w:rsidR="00802DBC" w:rsidRPr="00617B68" w:rsidRDefault="00802DBC" w:rsidP="001D1D27">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617B68">
        <w:rPr>
          <w:rFonts w:ascii="Times New Roman" w:hAnsi="Times New Roman" w:cs="Times New Roman"/>
          <w:i/>
          <w:sz w:val="20"/>
          <w:szCs w:val="20"/>
        </w:rPr>
        <w:t>See generally</w:t>
      </w:r>
      <w:r>
        <w:rPr>
          <w:rFonts w:ascii="Times New Roman" w:hAnsi="Times New Roman" w:cs="Times New Roman"/>
          <w:sz w:val="20"/>
          <w:szCs w:val="20"/>
        </w:rPr>
        <w:t xml:space="preserve"> </w:t>
      </w:r>
      <w:r w:rsidRPr="00445C4C">
        <w:rPr>
          <w:rFonts w:ascii="Times New Roman" w:hAnsi="Times New Roman" w:cs="Times New Roman"/>
          <w:i/>
          <w:sz w:val="20"/>
          <w:szCs w:val="20"/>
        </w:rPr>
        <w:t>id</w:t>
      </w:r>
      <w:r>
        <w:rPr>
          <w:rFonts w:ascii="Times New Roman" w:hAnsi="Times New Roman" w:cs="Times New Roman"/>
          <w:sz w:val="20"/>
          <w:szCs w:val="20"/>
        </w:rPr>
        <w:t>.</w:t>
      </w:r>
    </w:p>
  </w:footnote>
  <w:footnote w:id="114">
    <w:p w14:paraId="59A73539" w14:textId="47268519" w:rsidR="00802DBC" w:rsidRPr="00617B68" w:rsidRDefault="00802DBC" w:rsidP="00843732">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Pr>
          <w:rFonts w:ascii="Times New Roman" w:hAnsi="Times New Roman" w:cs="Times New Roman"/>
          <w:sz w:val="20"/>
          <w:szCs w:val="20"/>
        </w:rPr>
        <w:t>U.N.</w:t>
      </w:r>
      <w:r w:rsidRPr="00EF740A">
        <w:rPr>
          <w:rFonts w:ascii="Times New Roman" w:hAnsi="Times New Roman" w:cs="Times New Roman"/>
          <w:sz w:val="20"/>
          <w:szCs w:val="20"/>
        </w:rPr>
        <w:t xml:space="preserve"> Framework of Analysis, </w:t>
      </w:r>
      <w:r w:rsidRPr="00EF740A">
        <w:rPr>
          <w:rFonts w:ascii="Times New Roman" w:hAnsi="Times New Roman" w:cs="Times New Roman"/>
          <w:i/>
          <w:iCs/>
          <w:sz w:val="20"/>
          <w:szCs w:val="20"/>
        </w:rPr>
        <w:t>supra</w:t>
      </w:r>
      <w:r>
        <w:rPr>
          <w:rFonts w:ascii="Times New Roman" w:hAnsi="Times New Roman" w:cs="Times New Roman"/>
          <w:sz w:val="20"/>
          <w:szCs w:val="20"/>
        </w:rPr>
        <w:t xml:space="preserve"> note 19</w:t>
      </w:r>
      <w:r w:rsidRPr="00CA2399">
        <w:rPr>
          <w:rFonts w:ascii="Times New Roman" w:hAnsi="Times New Roman" w:cs="Times New Roman"/>
          <w:sz w:val="20"/>
          <w:szCs w:val="20"/>
        </w:rPr>
        <w:t xml:space="preserve">. </w:t>
      </w:r>
    </w:p>
  </w:footnote>
  <w:footnote w:id="115">
    <w:p w14:paraId="28D85350" w14:textId="2E95C490" w:rsidR="00802DBC" w:rsidRPr="00617B68" w:rsidRDefault="00802DBC" w:rsidP="00A73D3A">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617B68">
        <w:rPr>
          <w:rFonts w:ascii="Times New Roman" w:hAnsi="Times New Roman" w:cs="Times New Roman"/>
          <w:i/>
          <w:sz w:val="20"/>
          <w:szCs w:val="20"/>
        </w:rPr>
        <w:t xml:space="preserve"> Id</w:t>
      </w:r>
      <w:r w:rsidRPr="00617B68">
        <w:rPr>
          <w:rFonts w:ascii="Times New Roman" w:hAnsi="Times New Roman" w:cs="Times New Roman"/>
          <w:sz w:val="20"/>
          <w:szCs w:val="20"/>
        </w:rPr>
        <w:t xml:space="preserve">. </w:t>
      </w:r>
    </w:p>
  </w:footnote>
  <w:footnote w:id="116">
    <w:p w14:paraId="7B2DF514" w14:textId="418AC8CD" w:rsidR="00802DBC" w:rsidRPr="00617B68" w:rsidRDefault="00802DBC" w:rsidP="00A73D3A">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617B68">
        <w:rPr>
          <w:rFonts w:ascii="Times New Roman" w:hAnsi="Times New Roman" w:cs="Times New Roman"/>
          <w:i/>
          <w:sz w:val="20"/>
          <w:szCs w:val="20"/>
        </w:rPr>
        <w:t>Id</w:t>
      </w:r>
      <w:r w:rsidRPr="00617B68">
        <w:rPr>
          <w:rFonts w:ascii="Times New Roman" w:hAnsi="Times New Roman" w:cs="Times New Roman"/>
          <w:sz w:val="20"/>
          <w:szCs w:val="20"/>
        </w:rPr>
        <w:t>.</w:t>
      </w:r>
    </w:p>
  </w:footnote>
  <w:footnote w:id="117">
    <w:p w14:paraId="1D5564F1" w14:textId="09D670A7" w:rsidR="00802DBC" w:rsidRPr="00617B68" w:rsidRDefault="00802DBC" w:rsidP="002323FA">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617B68">
        <w:rPr>
          <w:rFonts w:ascii="Times New Roman" w:hAnsi="Times New Roman" w:cs="Times New Roman"/>
          <w:i/>
          <w:sz w:val="20"/>
          <w:szCs w:val="20"/>
        </w:rPr>
        <w:t xml:space="preserve">See generally </w:t>
      </w:r>
      <w:r>
        <w:rPr>
          <w:rFonts w:ascii="Times New Roman" w:hAnsi="Times New Roman" w:cs="Times New Roman"/>
          <w:i/>
          <w:sz w:val="20"/>
          <w:szCs w:val="20"/>
        </w:rPr>
        <w:t>i</w:t>
      </w:r>
      <w:r w:rsidRPr="00617B68">
        <w:rPr>
          <w:rFonts w:ascii="Times New Roman" w:hAnsi="Times New Roman" w:cs="Times New Roman"/>
          <w:i/>
          <w:sz w:val="20"/>
          <w:szCs w:val="20"/>
        </w:rPr>
        <w:t>d.</w:t>
      </w:r>
    </w:p>
  </w:footnote>
  <w:footnote w:id="118">
    <w:p w14:paraId="72FCFA39" w14:textId="6E25C0B1" w:rsidR="00802DBC" w:rsidRDefault="00802DBC" w:rsidP="00017F0E">
      <w:pPr>
        <w:pStyle w:val="FootnoteText"/>
        <w:tabs>
          <w:tab w:val="left" w:pos="720"/>
          <w:tab w:val="left" w:pos="810"/>
        </w:tabs>
        <w:ind w:right="720"/>
        <w:jc w:val="both"/>
        <w:rPr>
          <w:rFonts w:asciiTheme="majorBidi" w:hAnsiTheme="majorBidi" w:cstheme="majorBidi"/>
          <w:sz w:val="20"/>
          <w:szCs w:val="20"/>
        </w:rPr>
      </w:pPr>
      <w:r>
        <w:rPr>
          <w:rFonts w:asciiTheme="majorBidi" w:hAnsiTheme="majorBidi" w:cstheme="majorBidi"/>
          <w:sz w:val="20"/>
          <w:szCs w:val="20"/>
        </w:rPr>
        <w:t xml:space="preserve">   </w:t>
      </w:r>
      <w:r w:rsidRPr="00EF740A">
        <w:rPr>
          <w:rStyle w:val="FootnoteReference"/>
          <w:rFonts w:asciiTheme="majorBidi" w:hAnsiTheme="majorBidi" w:cstheme="majorBidi"/>
          <w:sz w:val="20"/>
          <w:szCs w:val="20"/>
        </w:rPr>
        <w:footnoteRef/>
      </w:r>
      <w:r>
        <w:rPr>
          <w:rFonts w:asciiTheme="majorBidi" w:hAnsiTheme="majorBidi" w:cstheme="majorBidi"/>
          <w:sz w:val="20"/>
          <w:szCs w:val="20"/>
        </w:rPr>
        <w:t xml:space="preserve"> </w:t>
      </w:r>
      <w:r>
        <w:rPr>
          <w:rFonts w:ascii="Times New Roman" w:hAnsi="Times New Roman" w:cs="Times New Roman"/>
          <w:sz w:val="20"/>
          <w:szCs w:val="20"/>
        </w:rPr>
        <w:t>U.N.</w:t>
      </w:r>
      <w:r w:rsidRPr="00EF740A">
        <w:rPr>
          <w:rFonts w:ascii="Times New Roman" w:hAnsi="Times New Roman" w:cs="Times New Roman"/>
          <w:sz w:val="20"/>
          <w:szCs w:val="20"/>
        </w:rPr>
        <w:t xml:space="preserve"> Framework of Analysis, </w:t>
      </w:r>
      <w:r w:rsidRPr="00EF740A">
        <w:rPr>
          <w:rFonts w:ascii="Times New Roman" w:hAnsi="Times New Roman" w:cs="Times New Roman"/>
          <w:i/>
          <w:iCs/>
          <w:sz w:val="20"/>
          <w:szCs w:val="20"/>
        </w:rPr>
        <w:t>supra</w:t>
      </w:r>
      <w:r>
        <w:rPr>
          <w:rFonts w:ascii="Times New Roman" w:hAnsi="Times New Roman" w:cs="Times New Roman"/>
          <w:sz w:val="20"/>
          <w:szCs w:val="20"/>
        </w:rPr>
        <w:t xml:space="preserve"> note 19</w:t>
      </w:r>
      <w:r w:rsidRPr="00CA2399">
        <w:rPr>
          <w:rFonts w:ascii="Times New Roman" w:hAnsi="Times New Roman" w:cs="Times New Roman"/>
          <w:sz w:val="20"/>
          <w:szCs w:val="20"/>
        </w:rPr>
        <w:t>.</w:t>
      </w:r>
    </w:p>
    <w:p w14:paraId="5AC88945" w14:textId="6E18459B" w:rsidR="00802DBC" w:rsidRPr="00017F0E" w:rsidRDefault="00802DBC" w:rsidP="00017F0E">
      <w:pPr>
        <w:pStyle w:val="FootnoteText"/>
        <w:tabs>
          <w:tab w:val="left" w:pos="720"/>
          <w:tab w:val="left" w:pos="810"/>
        </w:tabs>
        <w:ind w:left="720" w:right="720"/>
        <w:jc w:val="both"/>
        <w:rPr>
          <w:rFonts w:asciiTheme="majorBidi" w:hAnsiTheme="majorBidi" w:cstheme="majorBidi"/>
          <w:sz w:val="20"/>
          <w:szCs w:val="20"/>
        </w:rPr>
      </w:pPr>
      <w:r w:rsidRPr="00EF740A">
        <w:rPr>
          <w:rFonts w:asciiTheme="majorBidi" w:hAnsiTheme="majorBidi" w:cstheme="majorBidi"/>
          <w:sz w:val="20"/>
          <w:szCs w:val="20"/>
        </w:rPr>
        <w:t xml:space="preserve">Atrocity crimes, and in particular genocide and crimes against humanity, are processes </w:t>
      </w:r>
      <w:r>
        <w:rPr>
          <w:rFonts w:asciiTheme="majorBidi" w:hAnsiTheme="majorBidi" w:cstheme="majorBidi"/>
          <w:sz w:val="20"/>
          <w:szCs w:val="20"/>
        </w:rPr>
        <w:t xml:space="preserve">that take </w:t>
      </w:r>
      <w:r w:rsidRPr="00CA2399">
        <w:rPr>
          <w:rFonts w:asciiTheme="majorBidi" w:hAnsiTheme="majorBidi" w:cstheme="majorBidi"/>
          <w:sz w:val="20"/>
          <w:szCs w:val="20"/>
        </w:rPr>
        <w:t xml:space="preserve">time to plan, coordinate and implement. </w:t>
      </w:r>
      <w:r w:rsidRPr="007B2ECC">
        <w:rPr>
          <w:rFonts w:asciiTheme="majorBidi" w:hAnsiTheme="majorBidi" w:cstheme="majorBidi"/>
          <w:sz w:val="20"/>
          <w:szCs w:val="20"/>
        </w:rPr>
        <w:t xml:space="preserve">They cannot be explained as isolated or spontaneous events that perpetrators decided to commit without some level </w:t>
      </w:r>
      <w:r w:rsidRPr="00102CE6">
        <w:rPr>
          <w:rFonts w:asciiTheme="majorBidi" w:hAnsiTheme="majorBidi" w:cstheme="majorBidi"/>
          <w:sz w:val="20"/>
          <w:szCs w:val="20"/>
        </w:rPr>
        <w:t xml:space="preserve">of preparation. Also, as mentioned in a previous risk factor, perpetrators need to possess sufficient resources to be able to commit massive or widespread acts of violence. </w:t>
      </w:r>
      <w:r w:rsidRPr="00EF740A">
        <w:rPr>
          <w:rFonts w:asciiTheme="majorBidi" w:hAnsiTheme="majorBidi" w:cstheme="majorBidi"/>
          <w:sz w:val="20"/>
          <w:szCs w:val="20"/>
        </w:rPr>
        <w:t>Such resources are not always readily available and can take time to assemble. Consequently, throughout the development of these processes, it should be possible to identify events, actions or changes that point to the likelihood that certain actors are taking steps towards a scenario of mass violence and possibly atrocity crimes. Alternatively, such events, actions or changes can also serve to create an environment that favors or even encourages the commission of such crimes.  Recognizing such indicators and establishing a causal link to the probability of atrocity crimes is not always easy, but it is of great relevance. As with all risk factors, analysis of this risk factor should take into consideration a context in which other risk factors might also be present.”</w:t>
      </w:r>
      <w:r w:rsidRPr="00EF740A">
        <w:rPr>
          <w:rFonts w:ascii="Times New Roman" w:hAnsi="Times New Roman" w:cs="Times New Roman"/>
          <w:sz w:val="20"/>
          <w:szCs w:val="20"/>
        </w:rPr>
        <w:t xml:space="preserve"> </w:t>
      </w:r>
    </w:p>
    <w:p w14:paraId="2835E5B2" w14:textId="79972703" w:rsidR="00802DBC" w:rsidRPr="00EF740A" w:rsidRDefault="00802DBC" w:rsidP="00677392">
      <w:pPr>
        <w:pStyle w:val="FootnoteText"/>
        <w:tabs>
          <w:tab w:val="left" w:pos="810"/>
        </w:tabs>
        <w:ind w:right="720"/>
        <w:jc w:val="both"/>
        <w:rPr>
          <w:rFonts w:asciiTheme="majorBidi" w:hAnsiTheme="majorBidi" w:cstheme="majorBidi"/>
          <w:sz w:val="20"/>
          <w:szCs w:val="20"/>
        </w:rPr>
      </w:pPr>
      <w:r w:rsidRPr="00072D42">
        <w:rPr>
          <w:rFonts w:ascii="Times New Roman" w:hAnsi="Times New Roman" w:cs="Times New Roman"/>
          <w:i/>
          <w:iCs/>
          <w:sz w:val="20"/>
          <w:szCs w:val="20"/>
        </w:rPr>
        <w:t>Id</w:t>
      </w:r>
      <w:r w:rsidRPr="00072D42">
        <w:rPr>
          <w:rFonts w:ascii="Times New Roman" w:hAnsi="Times New Roman" w:cs="Times New Roman"/>
          <w:i/>
          <w:sz w:val="20"/>
          <w:szCs w:val="20"/>
        </w:rPr>
        <w:t>.</w:t>
      </w:r>
      <w:r w:rsidRPr="00EF740A">
        <w:rPr>
          <w:rFonts w:ascii="Times New Roman" w:hAnsi="Times New Roman" w:cs="Times New Roman"/>
          <w:sz w:val="20"/>
          <w:szCs w:val="20"/>
        </w:rPr>
        <w:t xml:space="preserve"> </w:t>
      </w:r>
    </w:p>
  </w:footnote>
  <w:footnote w:id="119">
    <w:p w14:paraId="36B9A453" w14:textId="77777777" w:rsidR="00802DBC" w:rsidRPr="00CA2399" w:rsidRDefault="00802DBC" w:rsidP="00E10585">
      <w:pPr>
        <w:pStyle w:val="FootnoteText"/>
        <w:ind w:firstLine="144"/>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EF740A">
        <w:rPr>
          <w:rFonts w:asciiTheme="majorBidi" w:hAnsiTheme="majorBidi" w:cstheme="majorBidi"/>
          <w:i/>
          <w:iCs/>
          <w:sz w:val="20"/>
          <w:szCs w:val="20"/>
        </w:rPr>
        <w:t>Id</w:t>
      </w:r>
      <w:r w:rsidRPr="00EF740A">
        <w:rPr>
          <w:rFonts w:asciiTheme="majorBidi" w:hAnsiTheme="majorBidi" w:cstheme="majorBidi"/>
          <w:sz w:val="20"/>
          <w:szCs w:val="20"/>
        </w:rPr>
        <w:t>.</w:t>
      </w:r>
    </w:p>
  </w:footnote>
  <w:footnote w:id="120">
    <w:p w14:paraId="0AE1C2A5" w14:textId="77777777" w:rsidR="00802DBC" w:rsidRPr="00EF740A" w:rsidRDefault="00802DBC" w:rsidP="00DE5C80">
      <w:pPr>
        <w:pStyle w:val="FootnoteText"/>
        <w:ind w:firstLine="144"/>
        <w:jc w:val="both"/>
        <w:rPr>
          <w:rFonts w:asciiTheme="majorBidi" w:hAnsiTheme="majorBidi" w:cstheme="majorBidi"/>
          <w:i/>
          <w:iCs/>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EF740A">
        <w:rPr>
          <w:rFonts w:asciiTheme="majorBidi" w:hAnsiTheme="majorBidi" w:cstheme="majorBidi"/>
          <w:i/>
          <w:iCs/>
          <w:sz w:val="20"/>
          <w:szCs w:val="20"/>
        </w:rPr>
        <w:t>Id.</w:t>
      </w:r>
    </w:p>
  </w:footnote>
  <w:footnote w:id="121">
    <w:p w14:paraId="11F4FA27" w14:textId="77777777" w:rsidR="00802DBC" w:rsidRPr="0030434C" w:rsidRDefault="00802DBC" w:rsidP="00445C4C">
      <w:pPr>
        <w:pStyle w:val="FootnoteText"/>
        <w:ind w:firstLine="144"/>
        <w:jc w:val="both"/>
        <w:rPr>
          <w:rFonts w:asciiTheme="majorBidi" w:hAnsiTheme="majorBidi" w:cstheme="majorBidi"/>
          <w:sz w:val="20"/>
          <w:szCs w:val="20"/>
        </w:rPr>
      </w:pPr>
      <w:r w:rsidRPr="0030434C">
        <w:rPr>
          <w:rStyle w:val="FootnoteReference"/>
          <w:rFonts w:asciiTheme="majorBidi" w:hAnsiTheme="majorBidi" w:cstheme="majorBidi"/>
          <w:sz w:val="20"/>
          <w:szCs w:val="20"/>
        </w:rPr>
        <w:footnoteRef/>
      </w:r>
      <w:r w:rsidRPr="0030434C">
        <w:rPr>
          <w:rFonts w:asciiTheme="majorBidi" w:hAnsiTheme="majorBidi" w:cstheme="majorBidi"/>
          <w:sz w:val="20"/>
          <w:szCs w:val="20"/>
        </w:rPr>
        <w:t xml:space="preserve"> </w:t>
      </w:r>
      <w:r w:rsidRPr="0030434C">
        <w:rPr>
          <w:rFonts w:asciiTheme="majorBidi" w:hAnsiTheme="majorBidi" w:cstheme="majorBidi"/>
          <w:i/>
          <w:iCs/>
          <w:sz w:val="20"/>
          <w:szCs w:val="20"/>
        </w:rPr>
        <w:t>Id</w:t>
      </w:r>
      <w:r w:rsidRPr="0030434C">
        <w:rPr>
          <w:rFonts w:asciiTheme="majorBidi" w:hAnsiTheme="majorBidi" w:cstheme="majorBidi"/>
          <w:sz w:val="20"/>
          <w:szCs w:val="20"/>
        </w:rPr>
        <w:t>.</w:t>
      </w:r>
    </w:p>
  </w:footnote>
  <w:footnote w:id="122">
    <w:p w14:paraId="7E2D6535" w14:textId="6C206A18" w:rsidR="00802DBC" w:rsidRPr="0030434C" w:rsidRDefault="00802DBC" w:rsidP="00445C4C">
      <w:pPr>
        <w:pStyle w:val="FootnoteText"/>
        <w:ind w:firstLine="144"/>
        <w:jc w:val="both"/>
        <w:rPr>
          <w:rFonts w:asciiTheme="majorBidi" w:hAnsiTheme="majorBidi" w:cstheme="majorBidi"/>
          <w:sz w:val="20"/>
          <w:szCs w:val="20"/>
        </w:rPr>
      </w:pPr>
      <w:r w:rsidRPr="0030434C">
        <w:rPr>
          <w:rStyle w:val="FootnoteReference"/>
          <w:rFonts w:asciiTheme="majorBidi" w:hAnsiTheme="majorBidi" w:cstheme="majorBidi"/>
          <w:sz w:val="20"/>
          <w:szCs w:val="20"/>
        </w:rPr>
        <w:footnoteRef/>
      </w:r>
      <w:r w:rsidRPr="0030434C">
        <w:rPr>
          <w:rFonts w:asciiTheme="majorBidi" w:hAnsiTheme="majorBidi" w:cstheme="majorBidi"/>
          <w:sz w:val="20"/>
          <w:szCs w:val="20"/>
        </w:rPr>
        <w:t xml:space="preserve"> </w:t>
      </w:r>
      <w:r>
        <w:rPr>
          <w:rFonts w:asciiTheme="majorBidi" w:hAnsiTheme="majorBidi" w:cstheme="majorBidi"/>
          <w:sz w:val="20"/>
          <w:szCs w:val="20"/>
        </w:rPr>
        <w:t>U.N.</w:t>
      </w:r>
      <w:r w:rsidRPr="0030434C">
        <w:rPr>
          <w:rFonts w:asciiTheme="majorBidi" w:hAnsiTheme="majorBidi" w:cstheme="majorBidi"/>
          <w:sz w:val="20"/>
          <w:szCs w:val="20"/>
        </w:rPr>
        <w:t xml:space="preserve"> Framework of Analysis, </w:t>
      </w:r>
      <w:r w:rsidRPr="0030434C">
        <w:rPr>
          <w:rFonts w:asciiTheme="majorBidi" w:hAnsiTheme="majorBidi" w:cstheme="majorBidi"/>
          <w:i/>
          <w:iCs/>
          <w:sz w:val="20"/>
          <w:szCs w:val="20"/>
        </w:rPr>
        <w:t>supra</w:t>
      </w:r>
      <w:r>
        <w:rPr>
          <w:rFonts w:asciiTheme="majorBidi" w:hAnsiTheme="majorBidi" w:cstheme="majorBidi"/>
          <w:sz w:val="20"/>
          <w:szCs w:val="20"/>
        </w:rPr>
        <w:t xml:space="preserve"> note 19</w:t>
      </w:r>
      <w:r w:rsidRPr="0030434C">
        <w:rPr>
          <w:rFonts w:asciiTheme="majorBidi" w:hAnsiTheme="majorBidi" w:cstheme="majorBidi"/>
          <w:sz w:val="20"/>
          <w:szCs w:val="20"/>
        </w:rPr>
        <w:t>, at 6.1.</w:t>
      </w:r>
    </w:p>
  </w:footnote>
  <w:footnote w:id="123">
    <w:p w14:paraId="2E90A78D" w14:textId="3C7C13B8" w:rsidR="00802DBC" w:rsidRPr="0030434C" w:rsidRDefault="00802DBC" w:rsidP="00445C4C">
      <w:pPr>
        <w:pStyle w:val="FootnoteText"/>
        <w:ind w:firstLine="144"/>
        <w:jc w:val="both"/>
        <w:rPr>
          <w:rFonts w:asciiTheme="majorBidi" w:hAnsiTheme="majorBidi" w:cstheme="majorBidi"/>
          <w:sz w:val="20"/>
          <w:szCs w:val="20"/>
        </w:rPr>
      </w:pPr>
      <w:r w:rsidRPr="0030434C">
        <w:rPr>
          <w:rStyle w:val="FootnoteReference"/>
          <w:rFonts w:asciiTheme="majorBidi" w:hAnsiTheme="majorBidi" w:cstheme="majorBidi"/>
          <w:sz w:val="20"/>
          <w:szCs w:val="20"/>
        </w:rPr>
        <w:footnoteRef/>
      </w:r>
      <w:r w:rsidRPr="0030434C">
        <w:rPr>
          <w:rFonts w:asciiTheme="majorBidi" w:hAnsiTheme="majorBidi" w:cstheme="majorBidi"/>
          <w:sz w:val="20"/>
          <w:szCs w:val="20"/>
        </w:rPr>
        <w:t xml:space="preserve"> </w:t>
      </w:r>
      <w:r w:rsidRPr="0030434C">
        <w:rPr>
          <w:rFonts w:asciiTheme="majorBidi" w:hAnsiTheme="majorBidi" w:cstheme="majorBidi"/>
          <w:i/>
          <w:sz w:val="20"/>
          <w:szCs w:val="20"/>
        </w:rPr>
        <w:t xml:space="preserve">Id. </w:t>
      </w:r>
      <w:r w:rsidRPr="0030434C">
        <w:rPr>
          <w:rFonts w:asciiTheme="majorBidi" w:hAnsiTheme="majorBidi" w:cstheme="majorBidi"/>
          <w:sz w:val="20"/>
          <w:szCs w:val="20"/>
        </w:rPr>
        <w:t>at 6.2.</w:t>
      </w:r>
    </w:p>
  </w:footnote>
  <w:footnote w:id="124">
    <w:p w14:paraId="7803CC91" w14:textId="6AD0A386" w:rsidR="00802DBC" w:rsidRPr="00F866F3" w:rsidRDefault="00802DBC" w:rsidP="00DE5C80">
      <w:pPr>
        <w:pStyle w:val="FootnoteText"/>
        <w:ind w:firstLine="144"/>
        <w:jc w:val="both"/>
        <w:rPr>
          <w:rFonts w:ascii="Times New Roman" w:hAnsi="Times New Roman" w:cs="Times New Roman"/>
          <w:sz w:val="20"/>
          <w:szCs w:val="20"/>
        </w:rPr>
      </w:pPr>
      <w:r w:rsidRPr="0030434C">
        <w:rPr>
          <w:rStyle w:val="FootnoteReference"/>
          <w:rFonts w:ascii="Times New Roman" w:hAnsi="Times New Roman" w:cs="Times New Roman"/>
          <w:sz w:val="20"/>
          <w:szCs w:val="20"/>
        </w:rPr>
        <w:footnoteRef/>
      </w:r>
      <w:r w:rsidRPr="0030434C">
        <w:rPr>
          <w:rFonts w:ascii="Times New Roman" w:hAnsi="Times New Roman" w:cs="Times New Roman"/>
          <w:sz w:val="20"/>
          <w:szCs w:val="20"/>
        </w:rPr>
        <w:t xml:space="preserve"> </w:t>
      </w:r>
      <w:r w:rsidRPr="00F866F3">
        <w:rPr>
          <w:rFonts w:ascii="Times New Roman" w:hAnsi="Times New Roman" w:cs="Times New Roman"/>
          <w:sz w:val="20"/>
          <w:szCs w:val="20"/>
        </w:rPr>
        <w:t xml:space="preserve">Sheri </w:t>
      </w:r>
      <w:r w:rsidR="00E5390B">
        <w:rPr>
          <w:rFonts w:ascii="Times New Roman" w:hAnsi="Times New Roman" w:cs="Times New Roman"/>
          <w:sz w:val="20"/>
          <w:szCs w:val="20"/>
        </w:rPr>
        <w:t xml:space="preserve">P. </w:t>
      </w:r>
      <w:r w:rsidRPr="00F866F3">
        <w:rPr>
          <w:rFonts w:ascii="Times New Roman" w:hAnsi="Times New Roman" w:cs="Times New Roman"/>
          <w:sz w:val="20"/>
          <w:szCs w:val="20"/>
        </w:rPr>
        <w:t xml:space="preserve">Rosenberg, </w:t>
      </w:r>
      <w:r w:rsidRPr="00F866F3">
        <w:rPr>
          <w:rFonts w:ascii="Times New Roman" w:hAnsi="Times New Roman" w:cs="Times New Roman"/>
          <w:i/>
          <w:iCs/>
          <w:sz w:val="20"/>
          <w:szCs w:val="20"/>
        </w:rPr>
        <w:t xml:space="preserve">The Relationship </w:t>
      </w:r>
      <w:r w:rsidRPr="00445C4C">
        <w:rPr>
          <w:rFonts w:ascii="Times New Roman" w:hAnsi="Times New Roman" w:cs="Times New Roman"/>
          <w:i/>
          <w:iCs/>
          <w:sz w:val="20"/>
          <w:szCs w:val="20"/>
        </w:rPr>
        <w:t>b</w:t>
      </w:r>
      <w:r w:rsidRPr="00F866F3">
        <w:rPr>
          <w:rFonts w:ascii="Times New Roman" w:hAnsi="Times New Roman" w:cs="Times New Roman"/>
          <w:i/>
          <w:iCs/>
          <w:sz w:val="20"/>
          <w:szCs w:val="20"/>
        </w:rPr>
        <w:t>etween the International Criminal Court and the Prevention of Mass Atrocities</w:t>
      </w:r>
      <w:r w:rsidRPr="00F866F3">
        <w:rPr>
          <w:rFonts w:ascii="Times New Roman" w:hAnsi="Times New Roman" w:cs="Times New Roman"/>
          <w:sz w:val="20"/>
          <w:szCs w:val="20"/>
        </w:rPr>
        <w:t xml:space="preserve">, </w:t>
      </w:r>
      <w:r w:rsidRPr="00F866F3">
        <w:rPr>
          <w:rFonts w:ascii="Times New Roman" w:hAnsi="Times New Roman" w:cs="Times New Roman"/>
          <w:smallCaps/>
          <w:sz w:val="20"/>
          <w:szCs w:val="20"/>
        </w:rPr>
        <w:t>Genocide Prevention Now</w:t>
      </w:r>
      <w:r w:rsidRPr="00F866F3">
        <w:rPr>
          <w:rFonts w:ascii="Times New Roman" w:hAnsi="Times New Roman" w:cs="Times New Roman"/>
          <w:sz w:val="20"/>
          <w:szCs w:val="20"/>
        </w:rPr>
        <w:t xml:space="preserve">, </w:t>
      </w:r>
      <w:r w:rsidRPr="009A68FC">
        <w:rPr>
          <w:rFonts w:asciiTheme="majorBidi" w:hAnsiTheme="majorBidi" w:cstheme="majorBidi"/>
          <w:sz w:val="20"/>
          <w:szCs w:val="20"/>
        </w:rPr>
        <w:t>http://www.ihgjlm.com/wp-content/uploads/2016/01/Relationship_ICC_Prevention_HU.pdf.</w:t>
      </w:r>
    </w:p>
  </w:footnote>
  <w:footnote w:id="125">
    <w:p w14:paraId="7863CBAD" w14:textId="7DE8A2C5" w:rsidR="00802DBC" w:rsidRPr="0030434C" w:rsidRDefault="00802DBC" w:rsidP="00445C4C">
      <w:pPr>
        <w:pStyle w:val="FootnoteText"/>
        <w:ind w:firstLine="144"/>
        <w:jc w:val="both"/>
        <w:rPr>
          <w:rFonts w:asciiTheme="majorBidi" w:hAnsiTheme="majorBidi" w:cstheme="majorBidi"/>
          <w:sz w:val="20"/>
          <w:szCs w:val="20"/>
        </w:rPr>
      </w:pPr>
      <w:r w:rsidRPr="0030434C">
        <w:rPr>
          <w:rStyle w:val="FootnoteReference"/>
          <w:rFonts w:asciiTheme="majorBidi" w:hAnsiTheme="majorBidi" w:cstheme="majorBidi"/>
          <w:sz w:val="20"/>
          <w:szCs w:val="20"/>
        </w:rPr>
        <w:footnoteRef/>
      </w:r>
      <w:r w:rsidRPr="0030434C">
        <w:rPr>
          <w:rFonts w:asciiTheme="majorBidi" w:hAnsiTheme="majorBidi" w:cstheme="majorBidi"/>
          <w:sz w:val="20"/>
          <w:szCs w:val="20"/>
        </w:rPr>
        <w:t xml:space="preserve"> Benjamin A. Valentino, </w:t>
      </w:r>
      <w:r w:rsidRPr="0030434C">
        <w:rPr>
          <w:rFonts w:asciiTheme="majorBidi" w:hAnsiTheme="majorBidi" w:cstheme="majorBidi"/>
          <w:i/>
          <w:iCs/>
          <w:sz w:val="20"/>
          <w:szCs w:val="20"/>
        </w:rPr>
        <w:t>The True Costs of Humanitarian Intervention</w:t>
      </w:r>
      <w:r w:rsidRPr="0030434C">
        <w:rPr>
          <w:rFonts w:asciiTheme="majorBidi" w:hAnsiTheme="majorBidi" w:cstheme="majorBidi"/>
          <w:sz w:val="20"/>
          <w:szCs w:val="20"/>
        </w:rPr>
        <w:t xml:space="preserve">, 90 </w:t>
      </w:r>
      <w:r w:rsidRPr="0030434C">
        <w:rPr>
          <w:rFonts w:asciiTheme="majorBidi" w:hAnsiTheme="majorBidi" w:cstheme="majorBidi"/>
          <w:smallCaps/>
          <w:sz w:val="20"/>
          <w:szCs w:val="20"/>
        </w:rPr>
        <w:t xml:space="preserve">Foreign </w:t>
      </w:r>
      <w:proofErr w:type="spellStart"/>
      <w:r w:rsidRPr="0030434C">
        <w:rPr>
          <w:rFonts w:asciiTheme="majorBidi" w:hAnsiTheme="majorBidi" w:cstheme="majorBidi"/>
          <w:smallCaps/>
          <w:sz w:val="20"/>
          <w:szCs w:val="20"/>
        </w:rPr>
        <w:t>Aff</w:t>
      </w:r>
      <w:proofErr w:type="spellEnd"/>
      <w:r>
        <w:rPr>
          <w:rFonts w:asciiTheme="majorBidi" w:hAnsiTheme="majorBidi" w:cstheme="majorBidi"/>
          <w:smallCaps/>
          <w:sz w:val="20"/>
          <w:szCs w:val="20"/>
        </w:rPr>
        <w:t>.</w:t>
      </w:r>
      <w:r w:rsidRPr="0030434C">
        <w:rPr>
          <w:rFonts w:asciiTheme="majorBidi" w:hAnsiTheme="majorBidi" w:cstheme="majorBidi"/>
          <w:sz w:val="20"/>
          <w:szCs w:val="20"/>
        </w:rPr>
        <w:t xml:space="preserve"> 60, 64 (2011). </w:t>
      </w:r>
    </w:p>
  </w:footnote>
  <w:footnote w:id="126">
    <w:p w14:paraId="11FF1C9E" w14:textId="5C451AA9" w:rsidR="00802DBC" w:rsidRPr="0030434C" w:rsidRDefault="00802DBC" w:rsidP="00445C4C">
      <w:pPr>
        <w:pStyle w:val="FootnoteText"/>
        <w:ind w:firstLine="144"/>
        <w:jc w:val="both"/>
        <w:rPr>
          <w:rFonts w:asciiTheme="majorBidi" w:hAnsiTheme="majorBidi" w:cstheme="majorBidi"/>
          <w:sz w:val="20"/>
          <w:szCs w:val="20"/>
        </w:rPr>
      </w:pPr>
      <w:r w:rsidRPr="0030434C">
        <w:rPr>
          <w:rStyle w:val="FootnoteReference"/>
          <w:rFonts w:asciiTheme="majorBidi" w:hAnsiTheme="majorBidi" w:cstheme="majorBidi"/>
          <w:sz w:val="20"/>
          <w:szCs w:val="20"/>
        </w:rPr>
        <w:footnoteRef/>
      </w:r>
      <w:r w:rsidRPr="0030434C">
        <w:rPr>
          <w:rFonts w:asciiTheme="majorBidi" w:hAnsiTheme="majorBidi" w:cstheme="majorBidi"/>
          <w:sz w:val="20"/>
          <w:szCs w:val="20"/>
        </w:rPr>
        <w:t xml:space="preserve"> </w:t>
      </w:r>
      <w:r w:rsidRPr="0030434C">
        <w:rPr>
          <w:rFonts w:asciiTheme="majorBidi" w:hAnsiTheme="majorBidi" w:cstheme="majorBidi"/>
          <w:smallCaps/>
          <w:sz w:val="20"/>
          <w:szCs w:val="20"/>
        </w:rPr>
        <w:t xml:space="preserve">Straus, </w:t>
      </w:r>
      <w:r w:rsidRPr="0030434C">
        <w:rPr>
          <w:rFonts w:asciiTheme="majorBidi" w:hAnsiTheme="majorBidi" w:cstheme="majorBidi"/>
          <w:i/>
          <w:iCs/>
          <w:sz w:val="20"/>
          <w:szCs w:val="20"/>
        </w:rPr>
        <w:t>supra</w:t>
      </w:r>
      <w:r w:rsidRPr="0030434C">
        <w:rPr>
          <w:rFonts w:asciiTheme="majorBidi" w:hAnsiTheme="majorBidi" w:cstheme="majorBidi"/>
          <w:sz w:val="20"/>
          <w:szCs w:val="20"/>
        </w:rPr>
        <w:t xml:space="preserve"> note</w:t>
      </w:r>
      <w:r w:rsidRPr="0030434C">
        <w:rPr>
          <w:rFonts w:asciiTheme="majorBidi" w:hAnsiTheme="majorBidi" w:cstheme="majorBidi"/>
          <w:smallCaps/>
          <w:sz w:val="20"/>
          <w:szCs w:val="20"/>
        </w:rPr>
        <w:t xml:space="preserve"> 5.</w:t>
      </w:r>
    </w:p>
  </w:footnote>
  <w:footnote w:id="127">
    <w:p w14:paraId="1ADE8113" w14:textId="611E3D32" w:rsidR="00802DBC" w:rsidRPr="00EF740A" w:rsidRDefault="00802DBC" w:rsidP="00445C4C">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617B68">
        <w:rPr>
          <w:rFonts w:asciiTheme="majorBidi" w:hAnsiTheme="majorBidi" w:cstheme="majorBidi"/>
          <w:smallCaps/>
          <w:sz w:val="20"/>
          <w:szCs w:val="20"/>
        </w:rPr>
        <w:t xml:space="preserve">Van </w:t>
      </w:r>
      <w:proofErr w:type="spellStart"/>
      <w:r w:rsidRPr="00617B68">
        <w:rPr>
          <w:rFonts w:asciiTheme="majorBidi" w:hAnsiTheme="majorBidi" w:cstheme="majorBidi"/>
          <w:smallCaps/>
          <w:sz w:val="20"/>
          <w:szCs w:val="20"/>
        </w:rPr>
        <w:t>Schaack</w:t>
      </w:r>
      <w:proofErr w:type="spellEnd"/>
      <w:r w:rsidRPr="00617B68">
        <w:rPr>
          <w:rFonts w:asciiTheme="majorBidi" w:hAnsiTheme="majorBidi" w:cstheme="majorBidi"/>
          <w:smallCaps/>
          <w:sz w:val="20"/>
          <w:szCs w:val="20"/>
        </w:rPr>
        <w:t xml:space="preserve"> &amp; </w:t>
      </w:r>
      <w:proofErr w:type="spellStart"/>
      <w:r w:rsidRPr="00617B68">
        <w:rPr>
          <w:rFonts w:asciiTheme="majorBidi" w:hAnsiTheme="majorBidi" w:cstheme="majorBidi"/>
          <w:smallCaps/>
          <w:sz w:val="20"/>
          <w:szCs w:val="20"/>
        </w:rPr>
        <w:t>Slye</w:t>
      </w:r>
      <w:proofErr w:type="spellEnd"/>
      <w:r w:rsidRPr="00617B68">
        <w:rPr>
          <w:rFonts w:asciiTheme="majorBidi" w:hAnsiTheme="majorBidi" w:cstheme="majorBidi"/>
          <w:smallCaps/>
          <w:sz w:val="20"/>
          <w:szCs w:val="20"/>
        </w:rPr>
        <w:t xml:space="preserve">, </w:t>
      </w:r>
      <w:r w:rsidRPr="00617B68">
        <w:rPr>
          <w:rFonts w:asciiTheme="majorBidi" w:hAnsiTheme="majorBidi" w:cstheme="majorBidi"/>
          <w:i/>
          <w:iCs/>
          <w:sz w:val="20"/>
          <w:szCs w:val="20"/>
        </w:rPr>
        <w:t>supra</w:t>
      </w:r>
      <w:r>
        <w:rPr>
          <w:rFonts w:asciiTheme="majorBidi" w:hAnsiTheme="majorBidi" w:cstheme="majorBidi"/>
          <w:sz w:val="20"/>
          <w:szCs w:val="20"/>
        </w:rPr>
        <w:t xml:space="preserve"> note 66</w:t>
      </w:r>
      <w:r w:rsidR="00E5390B">
        <w:rPr>
          <w:rFonts w:asciiTheme="majorBidi" w:hAnsiTheme="majorBidi" w:cstheme="majorBidi"/>
          <w:sz w:val="20"/>
          <w:szCs w:val="20"/>
        </w:rPr>
        <w:t>,</w:t>
      </w:r>
      <w:r w:rsidRPr="00617B68">
        <w:rPr>
          <w:rFonts w:asciiTheme="majorBidi" w:hAnsiTheme="majorBidi" w:cstheme="majorBidi"/>
          <w:sz w:val="20"/>
          <w:szCs w:val="20"/>
        </w:rPr>
        <w:t xml:space="preserve"> at 106. </w:t>
      </w:r>
    </w:p>
  </w:footnote>
  <w:footnote w:id="128">
    <w:p w14:paraId="54A98A5B" w14:textId="5C096F8E" w:rsidR="00802DBC" w:rsidRPr="00617B68" w:rsidRDefault="00802DBC" w:rsidP="00445C4C">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617B68">
        <w:rPr>
          <w:rFonts w:asciiTheme="majorBidi" w:hAnsiTheme="majorBidi" w:cstheme="majorBidi"/>
          <w:i/>
          <w:iCs/>
          <w:sz w:val="20"/>
          <w:szCs w:val="20"/>
        </w:rPr>
        <w:t>Id</w:t>
      </w:r>
      <w:r>
        <w:rPr>
          <w:rFonts w:asciiTheme="majorBidi" w:hAnsiTheme="majorBidi" w:cstheme="majorBidi"/>
          <w:i/>
          <w:iCs/>
          <w:sz w:val="20"/>
          <w:szCs w:val="20"/>
        </w:rPr>
        <w:t>.</w:t>
      </w:r>
      <w:r w:rsidRPr="00617B68">
        <w:rPr>
          <w:rFonts w:asciiTheme="majorBidi" w:hAnsiTheme="majorBidi" w:cstheme="majorBidi"/>
          <w:i/>
          <w:iCs/>
          <w:sz w:val="20"/>
          <w:szCs w:val="20"/>
        </w:rPr>
        <w:t xml:space="preserve"> </w:t>
      </w:r>
      <w:r w:rsidRPr="00617B68">
        <w:rPr>
          <w:rFonts w:asciiTheme="majorBidi" w:hAnsiTheme="majorBidi" w:cstheme="majorBidi"/>
          <w:sz w:val="20"/>
          <w:szCs w:val="20"/>
        </w:rPr>
        <w:t xml:space="preserve">at 113. </w:t>
      </w:r>
    </w:p>
  </w:footnote>
  <w:footnote w:id="129">
    <w:p w14:paraId="6B3A2CDD" w14:textId="41FAE18E" w:rsidR="00802DBC" w:rsidRPr="00EF740A" w:rsidRDefault="00802DBC" w:rsidP="00445C4C">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617B68">
        <w:rPr>
          <w:rFonts w:asciiTheme="majorBidi" w:hAnsiTheme="majorBidi" w:cstheme="majorBidi"/>
          <w:i/>
          <w:iCs/>
          <w:sz w:val="20"/>
          <w:szCs w:val="20"/>
        </w:rPr>
        <w:t>Id.</w:t>
      </w:r>
      <w:r w:rsidRPr="00617B68">
        <w:rPr>
          <w:rFonts w:asciiTheme="majorBidi" w:hAnsiTheme="majorBidi" w:cstheme="majorBidi"/>
          <w:i/>
          <w:iCs/>
          <w:smallCaps/>
          <w:sz w:val="20"/>
          <w:szCs w:val="20"/>
        </w:rPr>
        <w:t xml:space="preserve"> </w:t>
      </w:r>
      <w:r w:rsidRPr="00617B68">
        <w:rPr>
          <w:rFonts w:asciiTheme="majorBidi" w:hAnsiTheme="majorBidi" w:cstheme="majorBidi"/>
          <w:sz w:val="20"/>
          <w:szCs w:val="20"/>
        </w:rPr>
        <w:t>at 99</w:t>
      </w:r>
      <w:r>
        <w:rPr>
          <w:rFonts w:asciiTheme="majorBidi" w:hAnsiTheme="majorBidi" w:cstheme="majorBidi"/>
          <w:sz w:val="20"/>
          <w:szCs w:val="20"/>
        </w:rPr>
        <w:t>–</w:t>
      </w:r>
      <w:r w:rsidRPr="00617B68">
        <w:rPr>
          <w:rFonts w:asciiTheme="majorBidi" w:hAnsiTheme="majorBidi" w:cstheme="majorBidi"/>
          <w:sz w:val="20"/>
          <w:szCs w:val="20"/>
        </w:rPr>
        <w:t>113.</w:t>
      </w:r>
    </w:p>
  </w:footnote>
  <w:footnote w:id="130">
    <w:p w14:paraId="053F160D" w14:textId="6D91E0FB" w:rsidR="00802DBC" w:rsidRPr="00EF740A" w:rsidRDefault="00802DBC" w:rsidP="00445C4C">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617B68">
        <w:rPr>
          <w:rFonts w:asciiTheme="majorBidi" w:hAnsiTheme="majorBidi" w:cstheme="majorBidi"/>
          <w:i/>
          <w:iCs/>
          <w:sz w:val="20"/>
          <w:szCs w:val="20"/>
        </w:rPr>
        <w:t>Id.</w:t>
      </w:r>
      <w:r w:rsidRPr="00617B68">
        <w:rPr>
          <w:rFonts w:asciiTheme="majorBidi" w:hAnsiTheme="majorBidi" w:cstheme="majorBidi"/>
          <w:sz w:val="20"/>
          <w:szCs w:val="20"/>
        </w:rPr>
        <w:t xml:space="preserve"> at 17</w:t>
      </w:r>
      <w:r>
        <w:rPr>
          <w:rFonts w:asciiTheme="majorBidi" w:hAnsiTheme="majorBidi" w:cstheme="majorBidi"/>
          <w:sz w:val="20"/>
          <w:szCs w:val="20"/>
        </w:rPr>
        <w:t>–</w:t>
      </w:r>
      <w:r w:rsidRPr="00617B68">
        <w:rPr>
          <w:rFonts w:asciiTheme="majorBidi" w:hAnsiTheme="majorBidi" w:cstheme="majorBidi"/>
          <w:sz w:val="20"/>
          <w:szCs w:val="20"/>
        </w:rPr>
        <w:t>28.</w:t>
      </w:r>
    </w:p>
  </w:footnote>
  <w:footnote w:id="131">
    <w:p w14:paraId="15E83219" w14:textId="5D7BEE93" w:rsidR="00802DBC" w:rsidRPr="00617B68" w:rsidRDefault="00802DBC" w:rsidP="00445C4C">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617B68">
        <w:rPr>
          <w:rFonts w:asciiTheme="majorBidi" w:hAnsiTheme="majorBidi" w:cstheme="majorBidi"/>
          <w:i/>
          <w:iCs/>
          <w:sz w:val="20"/>
          <w:szCs w:val="20"/>
        </w:rPr>
        <w:t>Id</w:t>
      </w:r>
      <w:r w:rsidRPr="00617B68">
        <w:rPr>
          <w:rFonts w:asciiTheme="majorBidi" w:hAnsiTheme="majorBidi" w:cstheme="majorBidi"/>
          <w:sz w:val="20"/>
          <w:szCs w:val="20"/>
        </w:rPr>
        <w:t xml:space="preserve">. </w:t>
      </w:r>
    </w:p>
  </w:footnote>
  <w:footnote w:id="132">
    <w:p w14:paraId="0C39E3BC" w14:textId="3F709AC7" w:rsidR="00802DBC" w:rsidRPr="00617B68" w:rsidRDefault="00802DBC" w:rsidP="00445C4C">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617B68">
        <w:rPr>
          <w:rFonts w:asciiTheme="majorBidi" w:hAnsiTheme="majorBidi" w:cstheme="majorBidi"/>
          <w:i/>
          <w:iCs/>
          <w:sz w:val="20"/>
          <w:szCs w:val="20"/>
        </w:rPr>
        <w:t>Id</w:t>
      </w:r>
      <w:r w:rsidRPr="00617B68">
        <w:rPr>
          <w:rFonts w:asciiTheme="majorBidi" w:hAnsiTheme="majorBidi" w:cstheme="majorBidi"/>
          <w:sz w:val="20"/>
          <w:szCs w:val="20"/>
        </w:rPr>
        <w:t>.</w:t>
      </w:r>
    </w:p>
  </w:footnote>
  <w:footnote w:id="133">
    <w:p w14:paraId="0D0AB63C" w14:textId="03EB327E" w:rsidR="00802DBC" w:rsidRPr="00617B68" w:rsidRDefault="00802DBC" w:rsidP="00445C4C">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617B68">
        <w:rPr>
          <w:rFonts w:asciiTheme="majorBidi" w:hAnsiTheme="majorBidi" w:cstheme="majorBidi"/>
          <w:i/>
          <w:iCs/>
          <w:sz w:val="20"/>
          <w:szCs w:val="20"/>
        </w:rPr>
        <w:t>Id</w:t>
      </w:r>
      <w:r w:rsidRPr="00617B68">
        <w:rPr>
          <w:rFonts w:asciiTheme="majorBidi" w:hAnsiTheme="majorBidi" w:cstheme="majorBidi"/>
          <w:sz w:val="20"/>
          <w:szCs w:val="20"/>
        </w:rPr>
        <w:t xml:space="preserve">. </w:t>
      </w:r>
    </w:p>
  </w:footnote>
  <w:footnote w:id="134">
    <w:p w14:paraId="5B19AEC4" w14:textId="72878FD7" w:rsidR="00802DBC" w:rsidRPr="00EF740A" w:rsidRDefault="00802DBC" w:rsidP="00445C4C">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617B68">
        <w:rPr>
          <w:rFonts w:asciiTheme="majorBidi" w:hAnsiTheme="majorBidi" w:cstheme="majorBidi"/>
          <w:i/>
          <w:iCs/>
          <w:sz w:val="20"/>
          <w:szCs w:val="20"/>
        </w:rPr>
        <w:t>Id</w:t>
      </w:r>
      <w:r w:rsidRPr="00617B68">
        <w:rPr>
          <w:rFonts w:asciiTheme="majorBidi" w:hAnsiTheme="majorBidi" w:cstheme="majorBidi"/>
          <w:sz w:val="20"/>
          <w:szCs w:val="20"/>
        </w:rPr>
        <w:t>.</w:t>
      </w:r>
    </w:p>
  </w:footnote>
  <w:footnote w:id="135">
    <w:p w14:paraId="49183E6A" w14:textId="1B4BBE2D" w:rsidR="00802DBC" w:rsidRPr="00617B68" w:rsidRDefault="00802DBC" w:rsidP="00DE5C80">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617B68">
        <w:rPr>
          <w:rFonts w:asciiTheme="majorBidi" w:hAnsiTheme="majorBidi" w:cstheme="majorBidi"/>
          <w:sz w:val="20"/>
          <w:szCs w:val="20"/>
        </w:rPr>
        <w:t xml:space="preserve">W Douglas Smith, </w:t>
      </w:r>
      <w:r w:rsidRPr="00617B68">
        <w:rPr>
          <w:rFonts w:asciiTheme="majorBidi" w:hAnsiTheme="majorBidi" w:cstheme="majorBidi"/>
          <w:i/>
          <w:iCs/>
          <w:sz w:val="20"/>
          <w:szCs w:val="20"/>
        </w:rPr>
        <w:t>The International Criminal Court: The Long Arm of Neocolonialism</w:t>
      </w:r>
      <w:proofErr w:type="gramStart"/>
      <w:r w:rsidRPr="00617B68">
        <w:rPr>
          <w:rFonts w:asciiTheme="majorBidi" w:hAnsiTheme="majorBidi" w:cstheme="majorBidi"/>
          <w:i/>
          <w:iCs/>
          <w:sz w:val="20"/>
          <w:szCs w:val="20"/>
        </w:rPr>
        <w:t>?</w:t>
      </w:r>
      <w:r>
        <w:rPr>
          <w:rFonts w:asciiTheme="majorBidi" w:hAnsiTheme="majorBidi" w:cstheme="majorBidi"/>
          <w:iCs/>
          <w:sz w:val="20"/>
          <w:szCs w:val="20"/>
        </w:rPr>
        <w:t>,</w:t>
      </w:r>
      <w:proofErr w:type="gramEnd"/>
      <w:r w:rsidRPr="00617B68">
        <w:rPr>
          <w:rFonts w:asciiTheme="majorBidi" w:hAnsiTheme="majorBidi" w:cstheme="majorBidi"/>
          <w:i/>
          <w:iCs/>
          <w:sz w:val="20"/>
          <w:szCs w:val="20"/>
        </w:rPr>
        <w:t xml:space="preserve"> </w:t>
      </w:r>
      <w:r w:rsidRPr="00617B68">
        <w:rPr>
          <w:rFonts w:asciiTheme="majorBidi" w:hAnsiTheme="majorBidi" w:cstheme="majorBidi"/>
          <w:smallCaps/>
          <w:sz w:val="20"/>
          <w:szCs w:val="20"/>
        </w:rPr>
        <w:t>Int</w:t>
      </w:r>
      <w:r>
        <w:rPr>
          <w:rFonts w:asciiTheme="majorBidi" w:hAnsiTheme="majorBidi" w:cstheme="majorBidi"/>
          <w:smallCaps/>
          <w:sz w:val="20"/>
          <w:szCs w:val="20"/>
        </w:rPr>
        <w:t>’</w:t>
      </w:r>
      <w:r w:rsidRPr="00617B68">
        <w:rPr>
          <w:rFonts w:asciiTheme="majorBidi" w:hAnsiTheme="majorBidi" w:cstheme="majorBidi"/>
          <w:smallCaps/>
          <w:sz w:val="20"/>
          <w:szCs w:val="20"/>
        </w:rPr>
        <w:t xml:space="preserve">l </w:t>
      </w:r>
      <w:proofErr w:type="spellStart"/>
      <w:r w:rsidRPr="00617B68">
        <w:rPr>
          <w:rFonts w:asciiTheme="majorBidi" w:hAnsiTheme="majorBidi" w:cstheme="majorBidi"/>
          <w:smallCaps/>
          <w:sz w:val="20"/>
          <w:szCs w:val="20"/>
        </w:rPr>
        <w:t>Aff</w:t>
      </w:r>
      <w:proofErr w:type="spellEnd"/>
      <w:r>
        <w:rPr>
          <w:rFonts w:asciiTheme="majorBidi" w:hAnsiTheme="majorBidi" w:cstheme="majorBidi"/>
          <w:smallCaps/>
          <w:sz w:val="20"/>
          <w:szCs w:val="20"/>
        </w:rPr>
        <w:t>.</w:t>
      </w:r>
      <w:r w:rsidRPr="00617B68">
        <w:rPr>
          <w:rFonts w:asciiTheme="majorBidi" w:hAnsiTheme="majorBidi" w:cstheme="majorBidi"/>
          <w:smallCaps/>
          <w:sz w:val="20"/>
          <w:szCs w:val="20"/>
        </w:rPr>
        <w:t xml:space="preserve"> Re</w:t>
      </w:r>
      <w:r>
        <w:rPr>
          <w:rFonts w:asciiTheme="majorBidi" w:hAnsiTheme="majorBidi" w:cstheme="majorBidi"/>
          <w:smallCaps/>
          <w:sz w:val="20"/>
          <w:szCs w:val="20"/>
        </w:rPr>
        <w:t>v.</w:t>
      </w:r>
      <w:r w:rsidRPr="00617B68">
        <w:rPr>
          <w:rFonts w:asciiTheme="majorBidi" w:hAnsiTheme="majorBidi" w:cstheme="majorBidi"/>
          <w:smallCaps/>
          <w:sz w:val="20"/>
          <w:szCs w:val="20"/>
        </w:rPr>
        <w:t xml:space="preserve"> </w:t>
      </w:r>
      <w:r w:rsidRPr="00617B68">
        <w:rPr>
          <w:rFonts w:asciiTheme="majorBidi" w:hAnsiTheme="majorBidi" w:cstheme="majorBidi"/>
          <w:sz w:val="20"/>
          <w:szCs w:val="20"/>
        </w:rPr>
        <w:t>(Nov. 1, 2009)</w:t>
      </w:r>
      <w:r>
        <w:rPr>
          <w:rFonts w:asciiTheme="majorBidi" w:hAnsiTheme="majorBidi" w:cstheme="majorBidi"/>
          <w:sz w:val="20"/>
          <w:szCs w:val="20"/>
        </w:rPr>
        <w:t>,</w:t>
      </w:r>
      <w:r w:rsidRPr="00617B68">
        <w:rPr>
          <w:rFonts w:asciiTheme="majorBidi" w:hAnsiTheme="majorBidi" w:cstheme="majorBidi"/>
          <w:sz w:val="20"/>
          <w:szCs w:val="20"/>
        </w:rPr>
        <w:t xml:space="preserve"> http://www.iar-gwu.org/node/87. </w:t>
      </w:r>
    </w:p>
  </w:footnote>
  <w:footnote w:id="136">
    <w:p w14:paraId="74139623" w14:textId="39DA1717" w:rsidR="00802DBC" w:rsidRPr="00617B68" w:rsidRDefault="00802DBC" w:rsidP="00445C4C">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617B68">
        <w:rPr>
          <w:rFonts w:asciiTheme="majorBidi" w:hAnsiTheme="majorBidi" w:cstheme="majorBidi"/>
          <w:i/>
          <w:iCs/>
          <w:sz w:val="20"/>
          <w:szCs w:val="20"/>
        </w:rPr>
        <w:t>See generally</w:t>
      </w:r>
      <w:r w:rsidRPr="00617B68">
        <w:rPr>
          <w:rFonts w:asciiTheme="majorBidi" w:hAnsiTheme="majorBidi" w:cstheme="majorBidi"/>
          <w:sz w:val="20"/>
          <w:szCs w:val="20"/>
        </w:rPr>
        <w:t xml:space="preserve"> </w:t>
      </w:r>
      <w:r w:rsidRPr="00617B68">
        <w:rPr>
          <w:rFonts w:asciiTheme="majorBidi" w:hAnsiTheme="majorBidi" w:cstheme="majorBidi"/>
          <w:smallCaps/>
          <w:sz w:val="20"/>
          <w:szCs w:val="20"/>
        </w:rPr>
        <w:t xml:space="preserve">Straus, </w:t>
      </w:r>
      <w:r w:rsidRPr="00617B68">
        <w:rPr>
          <w:rFonts w:asciiTheme="majorBidi" w:hAnsiTheme="majorBidi" w:cstheme="majorBidi"/>
          <w:i/>
          <w:iCs/>
          <w:sz w:val="20"/>
          <w:szCs w:val="20"/>
        </w:rPr>
        <w:t>supra</w:t>
      </w:r>
      <w:r w:rsidRPr="00617B68">
        <w:rPr>
          <w:rFonts w:asciiTheme="majorBidi" w:hAnsiTheme="majorBidi" w:cstheme="majorBidi"/>
          <w:sz w:val="20"/>
          <w:szCs w:val="20"/>
        </w:rPr>
        <w:t xml:space="preserve"> note</w:t>
      </w:r>
      <w:r w:rsidRPr="00617B68">
        <w:rPr>
          <w:rFonts w:asciiTheme="majorBidi" w:hAnsiTheme="majorBidi" w:cstheme="majorBidi"/>
          <w:smallCaps/>
          <w:sz w:val="20"/>
          <w:szCs w:val="20"/>
        </w:rPr>
        <w:t xml:space="preserve"> 5. </w:t>
      </w:r>
    </w:p>
  </w:footnote>
  <w:footnote w:id="137">
    <w:p w14:paraId="3FF96ED9" w14:textId="4743C675" w:rsidR="00802DBC" w:rsidRPr="00617B68" w:rsidRDefault="00802DBC" w:rsidP="00445C4C">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617B68">
        <w:rPr>
          <w:rFonts w:asciiTheme="majorBidi" w:hAnsiTheme="majorBidi" w:cstheme="majorBidi"/>
          <w:smallCaps/>
          <w:sz w:val="20"/>
          <w:szCs w:val="20"/>
        </w:rPr>
        <w:t xml:space="preserve">Van </w:t>
      </w:r>
      <w:proofErr w:type="spellStart"/>
      <w:r w:rsidRPr="00617B68">
        <w:rPr>
          <w:rFonts w:asciiTheme="majorBidi" w:hAnsiTheme="majorBidi" w:cstheme="majorBidi"/>
          <w:smallCaps/>
          <w:sz w:val="20"/>
          <w:szCs w:val="20"/>
        </w:rPr>
        <w:t>Schaack</w:t>
      </w:r>
      <w:proofErr w:type="spellEnd"/>
      <w:r w:rsidRPr="00617B68">
        <w:rPr>
          <w:rFonts w:asciiTheme="majorBidi" w:hAnsiTheme="majorBidi" w:cstheme="majorBidi"/>
          <w:smallCaps/>
          <w:sz w:val="20"/>
          <w:szCs w:val="20"/>
        </w:rPr>
        <w:t xml:space="preserve"> &amp; </w:t>
      </w:r>
      <w:proofErr w:type="spellStart"/>
      <w:r w:rsidRPr="00617B68">
        <w:rPr>
          <w:rFonts w:asciiTheme="majorBidi" w:hAnsiTheme="majorBidi" w:cstheme="majorBidi"/>
          <w:smallCaps/>
          <w:sz w:val="20"/>
          <w:szCs w:val="20"/>
        </w:rPr>
        <w:t>Slye</w:t>
      </w:r>
      <w:proofErr w:type="spellEnd"/>
      <w:r w:rsidRPr="00617B68">
        <w:rPr>
          <w:rFonts w:asciiTheme="majorBidi" w:hAnsiTheme="majorBidi" w:cstheme="majorBidi"/>
          <w:smallCaps/>
          <w:sz w:val="20"/>
          <w:szCs w:val="20"/>
        </w:rPr>
        <w:t xml:space="preserve">, </w:t>
      </w:r>
      <w:r w:rsidRPr="00617B68">
        <w:rPr>
          <w:rFonts w:asciiTheme="majorBidi" w:hAnsiTheme="majorBidi" w:cstheme="majorBidi"/>
          <w:i/>
          <w:iCs/>
          <w:sz w:val="20"/>
          <w:szCs w:val="20"/>
        </w:rPr>
        <w:t>supra</w:t>
      </w:r>
      <w:r>
        <w:rPr>
          <w:rFonts w:asciiTheme="majorBidi" w:hAnsiTheme="majorBidi" w:cstheme="majorBidi"/>
          <w:sz w:val="20"/>
          <w:szCs w:val="20"/>
        </w:rPr>
        <w:t xml:space="preserve"> note 66,</w:t>
      </w:r>
      <w:r w:rsidRPr="00617B68">
        <w:rPr>
          <w:rFonts w:asciiTheme="majorBidi" w:hAnsiTheme="majorBidi" w:cstheme="majorBidi"/>
          <w:sz w:val="20"/>
          <w:szCs w:val="20"/>
        </w:rPr>
        <w:t xml:space="preserve"> at 144.</w:t>
      </w:r>
    </w:p>
  </w:footnote>
  <w:footnote w:id="138">
    <w:p w14:paraId="269E66A8" w14:textId="50A322B5" w:rsidR="00802DBC" w:rsidRPr="00CA2399" w:rsidRDefault="00802DBC" w:rsidP="004C7002">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Pr>
          <w:rFonts w:asciiTheme="majorBidi" w:hAnsiTheme="majorBidi" w:cstheme="majorBidi"/>
          <w:sz w:val="20"/>
          <w:szCs w:val="20"/>
        </w:rPr>
        <w:t>However,</w:t>
      </w:r>
      <w:r w:rsidRPr="00CA2399">
        <w:rPr>
          <w:rFonts w:asciiTheme="majorBidi" w:hAnsiTheme="majorBidi" w:cstheme="majorBidi"/>
          <w:sz w:val="20"/>
          <w:szCs w:val="20"/>
        </w:rPr>
        <w:t xml:space="preserve"> there are valid criminal law and human rights principles for not conducting trials in absentia.</w:t>
      </w:r>
    </w:p>
  </w:footnote>
  <w:footnote w:id="139">
    <w:p w14:paraId="20B9AEDA" w14:textId="565D35F3" w:rsidR="00802DBC" w:rsidRPr="00DE5C80" w:rsidRDefault="00802DBC" w:rsidP="00DE5C80">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proofErr w:type="spellStart"/>
      <w:r w:rsidRPr="00DE5C80">
        <w:rPr>
          <w:rFonts w:asciiTheme="majorBidi" w:hAnsiTheme="majorBidi" w:cstheme="majorBidi"/>
          <w:sz w:val="20"/>
          <w:szCs w:val="20"/>
        </w:rPr>
        <w:t>Somini</w:t>
      </w:r>
      <w:proofErr w:type="spellEnd"/>
      <w:r w:rsidRPr="00DE5C80">
        <w:rPr>
          <w:rFonts w:asciiTheme="majorBidi" w:hAnsiTheme="majorBidi" w:cstheme="majorBidi"/>
          <w:sz w:val="20"/>
          <w:szCs w:val="20"/>
        </w:rPr>
        <w:t xml:space="preserve"> </w:t>
      </w:r>
      <w:proofErr w:type="spellStart"/>
      <w:r w:rsidRPr="00DE5C80">
        <w:rPr>
          <w:rFonts w:asciiTheme="majorBidi" w:hAnsiTheme="majorBidi" w:cstheme="majorBidi"/>
          <w:sz w:val="20"/>
          <w:szCs w:val="20"/>
        </w:rPr>
        <w:t>Sengupta</w:t>
      </w:r>
      <w:proofErr w:type="spellEnd"/>
      <w:r w:rsidRPr="00DE5C80">
        <w:rPr>
          <w:rFonts w:asciiTheme="majorBidi" w:hAnsiTheme="majorBidi" w:cstheme="majorBidi"/>
          <w:sz w:val="20"/>
          <w:szCs w:val="20"/>
        </w:rPr>
        <w:t xml:space="preserve">, </w:t>
      </w:r>
      <w:r w:rsidRPr="00DE5C80">
        <w:rPr>
          <w:rFonts w:asciiTheme="majorBidi" w:hAnsiTheme="majorBidi" w:cstheme="majorBidi"/>
          <w:i/>
          <w:iCs/>
          <w:sz w:val="20"/>
          <w:szCs w:val="20"/>
        </w:rPr>
        <w:t>Omar al-Bashir Case Shows International Criminal Court’s Limitations</w:t>
      </w:r>
      <w:r w:rsidRPr="00DE5C80">
        <w:rPr>
          <w:rFonts w:asciiTheme="majorBidi" w:hAnsiTheme="majorBidi" w:cstheme="majorBidi"/>
          <w:sz w:val="20"/>
          <w:szCs w:val="20"/>
        </w:rPr>
        <w:t xml:space="preserve">, </w:t>
      </w:r>
      <w:r>
        <w:rPr>
          <w:rFonts w:asciiTheme="majorBidi" w:hAnsiTheme="majorBidi" w:cstheme="majorBidi"/>
          <w:smallCaps/>
          <w:sz w:val="20"/>
          <w:szCs w:val="20"/>
        </w:rPr>
        <w:t>N.Y.</w:t>
      </w:r>
      <w:r w:rsidRPr="00DE5C80">
        <w:rPr>
          <w:rFonts w:asciiTheme="majorBidi" w:hAnsiTheme="majorBidi" w:cstheme="majorBidi"/>
          <w:smallCaps/>
          <w:sz w:val="20"/>
          <w:szCs w:val="20"/>
        </w:rPr>
        <w:t xml:space="preserve"> Times</w:t>
      </w:r>
      <w:r w:rsidR="00E5390B">
        <w:rPr>
          <w:rFonts w:asciiTheme="majorBidi" w:hAnsiTheme="majorBidi" w:cstheme="majorBidi"/>
          <w:sz w:val="20"/>
          <w:szCs w:val="20"/>
        </w:rPr>
        <w:t xml:space="preserve"> (June</w:t>
      </w:r>
      <w:r w:rsidRPr="00DE5C80">
        <w:rPr>
          <w:rFonts w:asciiTheme="majorBidi" w:hAnsiTheme="majorBidi" w:cstheme="majorBidi"/>
          <w:sz w:val="20"/>
          <w:szCs w:val="20"/>
        </w:rPr>
        <w:t xml:space="preserve"> 15, 2015)</w:t>
      </w:r>
      <w:r>
        <w:rPr>
          <w:rFonts w:asciiTheme="majorBidi" w:hAnsiTheme="majorBidi" w:cstheme="majorBidi"/>
          <w:sz w:val="20"/>
          <w:szCs w:val="20"/>
        </w:rPr>
        <w:t>,</w:t>
      </w:r>
      <w:r w:rsidRPr="00DE5C80">
        <w:rPr>
          <w:rFonts w:asciiTheme="majorBidi" w:hAnsiTheme="majorBidi" w:cstheme="majorBidi"/>
          <w:sz w:val="20"/>
          <w:szCs w:val="20"/>
        </w:rPr>
        <w:t xml:space="preserve"> https://www.nytimes.com/2015/06/16/world/africa/sudan-bashir-international-criminal-court.html?_r=0. </w:t>
      </w:r>
    </w:p>
  </w:footnote>
  <w:footnote w:id="140">
    <w:p w14:paraId="76830B86" w14:textId="77777777" w:rsidR="00802DBC" w:rsidRPr="007B2ECC" w:rsidRDefault="00802DBC" w:rsidP="00BC3EC8">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CA2399">
        <w:rPr>
          <w:rFonts w:ascii="Times New Roman" w:hAnsi="Times New Roman" w:cs="Times New Roman"/>
          <w:sz w:val="20"/>
          <w:szCs w:val="20"/>
        </w:rPr>
        <w:t>These methods are designed to work in conjunction with, as opposed to replace, international cr</w:t>
      </w:r>
      <w:r w:rsidRPr="00DF383F">
        <w:rPr>
          <w:rFonts w:ascii="Times New Roman" w:hAnsi="Times New Roman" w:cs="Times New Roman"/>
          <w:sz w:val="20"/>
          <w:szCs w:val="20"/>
        </w:rPr>
        <w:t>iminal prosecutions and, in extreme cases, use of f</w:t>
      </w:r>
      <w:r w:rsidRPr="007B2ECC">
        <w:rPr>
          <w:rFonts w:ascii="Times New Roman" w:hAnsi="Times New Roman" w:cs="Times New Roman"/>
          <w:sz w:val="20"/>
          <w:szCs w:val="20"/>
        </w:rPr>
        <w:t xml:space="preserve">orce. </w:t>
      </w:r>
    </w:p>
  </w:footnote>
  <w:footnote w:id="141">
    <w:p w14:paraId="7F022EF8" w14:textId="50EB802C" w:rsidR="00802DBC" w:rsidRPr="00DE5C80" w:rsidRDefault="00802DBC" w:rsidP="00DE5C80">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DE5C80">
        <w:rPr>
          <w:rFonts w:asciiTheme="majorBidi" w:hAnsiTheme="majorBidi" w:cstheme="majorBidi"/>
          <w:smallCaps/>
          <w:sz w:val="20"/>
          <w:szCs w:val="20"/>
        </w:rPr>
        <w:t xml:space="preserve">Van </w:t>
      </w:r>
      <w:proofErr w:type="spellStart"/>
      <w:r w:rsidRPr="00DE5C80">
        <w:rPr>
          <w:rFonts w:asciiTheme="majorBidi" w:hAnsiTheme="majorBidi" w:cstheme="majorBidi"/>
          <w:smallCaps/>
          <w:sz w:val="20"/>
          <w:szCs w:val="20"/>
        </w:rPr>
        <w:t>Schaack</w:t>
      </w:r>
      <w:proofErr w:type="spellEnd"/>
      <w:r w:rsidRPr="00DE5C80">
        <w:rPr>
          <w:rFonts w:asciiTheme="majorBidi" w:hAnsiTheme="majorBidi" w:cstheme="majorBidi"/>
          <w:smallCaps/>
          <w:sz w:val="20"/>
          <w:szCs w:val="20"/>
        </w:rPr>
        <w:t xml:space="preserve"> &amp; </w:t>
      </w:r>
      <w:proofErr w:type="spellStart"/>
      <w:r w:rsidRPr="00DE5C80">
        <w:rPr>
          <w:rFonts w:asciiTheme="majorBidi" w:hAnsiTheme="majorBidi" w:cstheme="majorBidi"/>
          <w:smallCaps/>
          <w:sz w:val="20"/>
          <w:szCs w:val="20"/>
        </w:rPr>
        <w:t>Slye</w:t>
      </w:r>
      <w:proofErr w:type="spellEnd"/>
      <w:r w:rsidRPr="00DE5C80">
        <w:rPr>
          <w:rFonts w:asciiTheme="majorBidi" w:hAnsiTheme="majorBidi" w:cstheme="majorBidi"/>
          <w:smallCaps/>
          <w:sz w:val="20"/>
          <w:szCs w:val="20"/>
        </w:rPr>
        <w:t xml:space="preserve">, </w:t>
      </w:r>
      <w:r w:rsidRPr="00DE5C80">
        <w:rPr>
          <w:rFonts w:asciiTheme="majorBidi" w:hAnsiTheme="majorBidi" w:cstheme="majorBidi"/>
          <w:i/>
          <w:iCs/>
          <w:sz w:val="20"/>
          <w:szCs w:val="20"/>
        </w:rPr>
        <w:t>supra</w:t>
      </w:r>
      <w:r>
        <w:rPr>
          <w:rFonts w:asciiTheme="majorBidi" w:hAnsiTheme="majorBidi" w:cstheme="majorBidi"/>
          <w:sz w:val="20"/>
          <w:szCs w:val="20"/>
        </w:rPr>
        <w:t xml:space="preserve"> note 66</w:t>
      </w:r>
      <w:r w:rsidR="00E5390B">
        <w:rPr>
          <w:rFonts w:asciiTheme="majorBidi" w:hAnsiTheme="majorBidi" w:cstheme="majorBidi"/>
          <w:sz w:val="20"/>
          <w:szCs w:val="20"/>
        </w:rPr>
        <w:t>,</w:t>
      </w:r>
      <w:r w:rsidRPr="00DE5C80">
        <w:rPr>
          <w:rFonts w:asciiTheme="majorBidi" w:hAnsiTheme="majorBidi" w:cstheme="majorBidi"/>
          <w:sz w:val="20"/>
          <w:szCs w:val="20"/>
        </w:rPr>
        <w:t xml:space="preserve"> at 6</w:t>
      </w:r>
      <w:r>
        <w:rPr>
          <w:rFonts w:asciiTheme="majorBidi" w:hAnsiTheme="majorBidi" w:cstheme="majorBidi"/>
          <w:sz w:val="20"/>
          <w:szCs w:val="20"/>
        </w:rPr>
        <w:t>–</w:t>
      </w:r>
      <w:r w:rsidRPr="00DE5C80">
        <w:rPr>
          <w:rFonts w:asciiTheme="majorBidi" w:hAnsiTheme="majorBidi" w:cstheme="majorBidi"/>
          <w:sz w:val="20"/>
          <w:szCs w:val="20"/>
        </w:rPr>
        <w:t>11.</w:t>
      </w:r>
    </w:p>
  </w:footnote>
  <w:footnote w:id="142">
    <w:p w14:paraId="4332923E" w14:textId="2FC15D4E" w:rsidR="00802DBC" w:rsidRPr="007B2ECC" w:rsidRDefault="00802DBC" w:rsidP="00DE5C80">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CA2399">
        <w:rPr>
          <w:rFonts w:ascii="Times New Roman" w:hAnsi="Times New Roman" w:cs="Times New Roman"/>
          <w:sz w:val="20"/>
          <w:szCs w:val="20"/>
        </w:rPr>
        <w:t>Th</w:t>
      </w:r>
      <w:r>
        <w:rPr>
          <w:rFonts w:ascii="Times New Roman" w:hAnsi="Times New Roman" w:cs="Times New Roman"/>
          <w:sz w:val="20"/>
          <w:szCs w:val="20"/>
        </w:rPr>
        <w:t>e</w:t>
      </w:r>
      <w:r w:rsidRPr="00CA2399">
        <w:rPr>
          <w:rFonts w:ascii="Times New Roman" w:hAnsi="Times New Roman" w:cs="Times New Roman"/>
          <w:sz w:val="20"/>
          <w:szCs w:val="20"/>
        </w:rPr>
        <w:t xml:space="preserve"> terminology has developed in recent years as a more extensive replacement for the phrase “transitional justice,” which some scholars find to be re</w:t>
      </w:r>
      <w:r w:rsidRPr="00DF383F">
        <w:rPr>
          <w:rFonts w:ascii="Times New Roman" w:hAnsi="Times New Roman" w:cs="Times New Roman"/>
          <w:sz w:val="20"/>
          <w:szCs w:val="20"/>
        </w:rPr>
        <w:t>ductive. However, for purposes of length and clarit</w:t>
      </w:r>
      <w:r w:rsidRPr="007B2ECC">
        <w:rPr>
          <w:rFonts w:ascii="Times New Roman" w:hAnsi="Times New Roman" w:cs="Times New Roman"/>
          <w:sz w:val="20"/>
          <w:szCs w:val="20"/>
        </w:rPr>
        <w:t>y, the phrase “transitional justice” will be used almost exclusively in this note.</w:t>
      </w:r>
    </w:p>
  </w:footnote>
  <w:footnote w:id="143">
    <w:p w14:paraId="0D05C873" w14:textId="41A411C8" w:rsidR="00802DBC" w:rsidRPr="00EF740A" w:rsidRDefault="00802DBC" w:rsidP="00DE5C80">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w:t>
      </w:r>
      <w:r w:rsidRPr="00EF740A">
        <w:rPr>
          <w:rFonts w:ascii="Times New Roman" w:hAnsi="Times New Roman" w:cs="Times New Roman"/>
          <w:sz w:val="20"/>
          <w:szCs w:val="20"/>
        </w:rPr>
        <w:t xml:space="preserve">Pablo de </w:t>
      </w:r>
      <w:proofErr w:type="spellStart"/>
      <w:r w:rsidRPr="00EF740A">
        <w:rPr>
          <w:rFonts w:ascii="Times New Roman" w:hAnsi="Times New Roman" w:cs="Times New Roman"/>
          <w:sz w:val="20"/>
          <w:szCs w:val="20"/>
        </w:rPr>
        <w:t>Greiff</w:t>
      </w:r>
      <w:proofErr w:type="spellEnd"/>
      <w:r w:rsidRPr="00EF740A">
        <w:rPr>
          <w:rFonts w:ascii="Times New Roman" w:hAnsi="Times New Roman" w:cs="Times New Roman"/>
          <w:sz w:val="20"/>
          <w:szCs w:val="20"/>
        </w:rPr>
        <w:t xml:space="preserve">, </w:t>
      </w:r>
      <w:r w:rsidRPr="00CA2399">
        <w:rPr>
          <w:rFonts w:ascii="Times New Roman" w:hAnsi="Times New Roman" w:cs="Times New Roman"/>
          <w:i/>
          <w:sz w:val="20"/>
          <w:szCs w:val="20"/>
        </w:rPr>
        <w:t>A Normative Concept of Transitional Justice</w:t>
      </w:r>
      <w:r w:rsidRPr="00445C4C">
        <w:rPr>
          <w:rFonts w:ascii="Times New Roman" w:hAnsi="Times New Roman" w:cs="Times New Roman"/>
          <w:sz w:val="20"/>
          <w:szCs w:val="20"/>
        </w:rPr>
        <w:t>,</w:t>
      </w:r>
      <w:r w:rsidRPr="00DF383F">
        <w:rPr>
          <w:rFonts w:ascii="Times New Roman" w:hAnsi="Times New Roman" w:cs="Times New Roman"/>
          <w:sz w:val="20"/>
          <w:szCs w:val="20"/>
        </w:rPr>
        <w:t xml:space="preserve"> </w:t>
      </w:r>
      <w:r w:rsidRPr="00DE5C80">
        <w:rPr>
          <w:rFonts w:ascii="Times New Roman" w:hAnsi="Times New Roman" w:cs="Times New Roman"/>
          <w:sz w:val="20"/>
          <w:szCs w:val="20"/>
        </w:rPr>
        <w:t xml:space="preserve">50 </w:t>
      </w:r>
      <w:proofErr w:type="spellStart"/>
      <w:r w:rsidRPr="00DE5C80">
        <w:rPr>
          <w:rFonts w:ascii="Times New Roman" w:hAnsi="Times New Roman" w:cs="Times New Roman"/>
          <w:smallCaps/>
          <w:sz w:val="20"/>
          <w:szCs w:val="20"/>
        </w:rPr>
        <w:t>Politorbis</w:t>
      </w:r>
      <w:proofErr w:type="spellEnd"/>
      <w:r w:rsidRPr="00DE5C80">
        <w:rPr>
          <w:rFonts w:ascii="Times New Roman" w:hAnsi="Times New Roman" w:cs="Times New Roman"/>
          <w:sz w:val="20"/>
          <w:szCs w:val="20"/>
        </w:rPr>
        <w:t xml:space="preserve"> 17 (2010).</w:t>
      </w:r>
    </w:p>
  </w:footnote>
  <w:footnote w:id="144">
    <w:p w14:paraId="505FF4AE" w14:textId="4604B9B1" w:rsidR="00802DBC" w:rsidRPr="007B2ECC" w:rsidRDefault="00802DBC" w:rsidP="00DE5C80">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DF383F">
        <w:rPr>
          <w:rFonts w:ascii="Times New Roman" w:hAnsi="Times New Roman" w:cs="Times New Roman"/>
          <w:sz w:val="20"/>
          <w:szCs w:val="20"/>
        </w:rPr>
        <w:t xml:space="preserve">Kofi Annan served as </w:t>
      </w:r>
      <w:r>
        <w:rPr>
          <w:rFonts w:ascii="Times New Roman" w:hAnsi="Times New Roman" w:cs="Times New Roman"/>
          <w:sz w:val="20"/>
          <w:szCs w:val="20"/>
        </w:rPr>
        <w:t xml:space="preserve">U.N. </w:t>
      </w:r>
      <w:r w:rsidRPr="00DF383F">
        <w:rPr>
          <w:rFonts w:ascii="Times New Roman" w:hAnsi="Times New Roman" w:cs="Times New Roman"/>
          <w:sz w:val="20"/>
          <w:szCs w:val="20"/>
        </w:rPr>
        <w:t>Sec</w:t>
      </w:r>
      <w:r w:rsidRPr="007B2ECC">
        <w:rPr>
          <w:rFonts w:ascii="Times New Roman" w:hAnsi="Times New Roman" w:cs="Times New Roman"/>
          <w:sz w:val="20"/>
          <w:szCs w:val="20"/>
        </w:rPr>
        <w:t xml:space="preserve">retary </w:t>
      </w:r>
      <w:proofErr w:type="gramStart"/>
      <w:r w:rsidRPr="007B2ECC">
        <w:rPr>
          <w:rFonts w:ascii="Times New Roman" w:hAnsi="Times New Roman" w:cs="Times New Roman"/>
          <w:sz w:val="20"/>
          <w:szCs w:val="20"/>
        </w:rPr>
        <w:t>General</w:t>
      </w:r>
      <w:r>
        <w:rPr>
          <w:rFonts w:ascii="Times New Roman" w:hAnsi="Times New Roman" w:cs="Times New Roman"/>
          <w:sz w:val="20"/>
          <w:szCs w:val="20"/>
        </w:rPr>
        <w:t xml:space="preserve"> </w:t>
      </w:r>
      <w:r w:rsidRPr="007B2ECC">
        <w:rPr>
          <w:rFonts w:ascii="Times New Roman" w:hAnsi="Times New Roman" w:cs="Times New Roman"/>
          <w:sz w:val="20"/>
          <w:szCs w:val="20"/>
        </w:rPr>
        <w:t xml:space="preserve"> from</w:t>
      </w:r>
      <w:proofErr w:type="gramEnd"/>
      <w:r w:rsidRPr="007B2ECC">
        <w:rPr>
          <w:rFonts w:ascii="Times New Roman" w:hAnsi="Times New Roman" w:cs="Times New Roman"/>
          <w:sz w:val="20"/>
          <w:szCs w:val="20"/>
        </w:rPr>
        <w:t xml:space="preserve"> 1997 through 2006. </w:t>
      </w:r>
    </w:p>
  </w:footnote>
  <w:footnote w:id="145">
    <w:p w14:paraId="65C3C886" w14:textId="4EDBD44F" w:rsidR="00802DBC" w:rsidRPr="00DE5C80" w:rsidRDefault="00802DBC" w:rsidP="00DA11CA">
      <w:pPr>
        <w:pStyle w:val="FootnoteText"/>
        <w:ind w:firstLine="144"/>
        <w:jc w:val="both"/>
        <w:rPr>
          <w:rFonts w:asciiTheme="majorBidi" w:hAnsiTheme="majorBidi" w:cstheme="majorBidi"/>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Pr>
          <w:rFonts w:ascii="Times New Roman" w:hAnsi="Times New Roman" w:cs="Times New Roman"/>
          <w:sz w:val="20"/>
          <w:szCs w:val="20"/>
        </w:rPr>
        <w:t>Report of the Secretary General</w:t>
      </w:r>
      <w:r w:rsidRPr="00DE5C80">
        <w:rPr>
          <w:rFonts w:ascii="Times New Roman" w:hAnsi="Times New Roman" w:cs="Times New Roman"/>
          <w:sz w:val="20"/>
          <w:szCs w:val="20"/>
        </w:rPr>
        <w:t>,</w:t>
      </w:r>
      <w:r>
        <w:rPr>
          <w:rFonts w:ascii="Times New Roman" w:hAnsi="Times New Roman" w:cs="Times New Roman"/>
          <w:i/>
          <w:iCs/>
          <w:sz w:val="20"/>
          <w:szCs w:val="20"/>
        </w:rPr>
        <w:t xml:space="preserve"> The Rule of Law and Transitional Justice in Conflict and Post-Conflict Societies</w:t>
      </w:r>
      <w:r>
        <w:rPr>
          <w:rFonts w:ascii="Times New Roman" w:hAnsi="Times New Roman" w:cs="Times New Roman"/>
          <w:sz w:val="20"/>
          <w:szCs w:val="20"/>
        </w:rPr>
        <w:t>, U.N.</w:t>
      </w:r>
      <w:r w:rsidRPr="00DE5C80">
        <w:rPr>
          <w:rFonts w:ascii="Times New Roman" w:hAnsi="Times New Roman" w:cs="Times New Roman"/>
          <w:sz w:val="20"/>
          <w:szCs w:val="20"/>
        </w:rPr>
        <w:t xml:space="preserve"> Doc S/2004/616</w:t>
      </w:r>
      <w:r>
        <w:rPr>
          <w:rFonts w:ascii="Times New Roman" w:hAnsi="Times New Roman" w:cs="Times New Roman"/>
          <w:sz w:val="20"/>
          <w:szCs w:val="20"/>
        </w:rPr>
        <w:t xml:space="preserve"> (2004)</w:t>
      </w:r>
      <w:r w:rsidRPr="00DE5C80">
        <w:rPr>
          <w:rFonts w:ascii="Times New Roman" w:hAnsi="Times New Roman" w:cs="Times New Roman"/>
          <w:sz w:val="20"/>
          <w:szCs w:val="20"/>
        </w:rPr>
        <w:t xml:space="preserve">. </w:t>
      </w:r>
    </w:p>
  </w:footnote>
  <w:footnote w:id="146">
    <w:p w14:paraId="4D6D8A23" w14:textId="12F7C391" w:rsidR="00802DBC" w:rsidRPr="00DE5C80" w:rsidRDefault="00802DBC" w:rsidP="00ED2D76">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DE5C80">
        <w:rPr>
          <w:rFonts w:ascii="Times New Roman" w:hAnsi="Times New Roman" w:cs="Times New Roman"/>
          <w:i/>
          <w:sz w:val="20"/>
          <w:szCs w:val="20"/>
        </w:rPr>
        <w:t>Id</w:t>
      </w:r>
      <w:r w:rsidRPr="00DE5C80">
        <w:rPr>
          <w:rFonts w:ascii="Times New Roman" w:hAnsi="Times New Roman" w:cs="Times New Roman"/>
          <w:sz w:val="20"/>
          <w:szCs w:val="20"/>
        </w:rPr>
        <w:t xml:space="preserve">. </w:t>
      </w:r>
    </w:p>
  </w:footnote>
  <w:footnote w:id="147">
    <w:p w14:paraId="6D2B51DD" w14:textId="3E548D46" w:rsidR="00802DBC" w:rsidRPr="00102CE6" w:rsidRDefault="00802DBC" w:rsidP="00DE5C80">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CA2399">
        <w:rPr>
          <w:rFonts w:asciiTheme="majorBidi" w:hAnsiTheme="majorBidi" w:cstheme="majorBidi"/>
          <w:i/>
          <w:iCs/>
          <w:sz w:val="20"/>
          <w:szCs w:val="20"/>
        </w:rPr>
        <w:t xml:space="preserve">See generally </w:t>
      </w:r>
      <w:r w:rsidRPr="00DF383F">
        <w:rPr>
          <w:rFonts w:asciiTheme="majorBidi" w:hAnsiTheme="majorBidi" w:cstheme="majorBidi"/>
          <w:sz w:val="20"/>
          <w:szCs w:val="20"/>
        </w:rPr>
        <w:t xml:space="preserve">Jens </w:t>
      </w:r>
      <w:proofErr w:type="spellStart"/>
      <w:r w:rsidRPr="00DF383F">
        <w:rPr>
          <w:rFonts w:asciiTheme="majorBidi" w:hAnsiTheme="majorBidi" w:cstheme="majorBidi"/>
          <w:sz w:val="20"/>
          <w:szCs w:val="20"/>
        </w:rPr>
        <w:t>Meierhenrich</w:t>
      </w:r>
      <w:proofErr w:type="spellEnd"/>
      <w:r w:rsidRPr="00DF383F">
        <w:rPr>
          <w:rFonts w:asciiTheme="majorBidi" w:hAnsiTheme="majorBidi" w:cstheme="majorBidi"/>
          <w:sz w:val="20"/>
          <w:szCs w:val="20"/>
        </w:rPr>
        <w:t xml:space="preserve">, </w:t>
      </w:r>
      <w:r w:rsidRPr="007B2ECC">
        <w:rPr>
          <w:rFonts w:asciiTheme="majorBidi" w:hAnsiTheme="majorBidi" w:cstheme="majorBidi"/>
          <w:i/>
          <w:iCs/>
          <w:sz w:val="20"/>
          <w:szCs w:val="20"/>
        </w:rPr>
        <w:t>Varieties of Reconciliation</w:t>
      </w:r>
      <w:r w:rsidRPr="007B2ECC">
        <w:rPr>
          <w:rFonts w:asciiTheme="majorBidi" w:hAnsiTheme="majorBidi" w:cstheme="majorBidi"/>
          <w:sz w:val="20"/>
          <w:szCs w:val="20"/>
        </w:rPr>
        <w:t xml:space="preserve">, </w:t>
      </w:r>
      <w:r w:rsidRPr="00102CE6">
        <w:rPr>
          <w:rFonts w:asciiTheme="majorBidi" w:hAnsiTheme="majorBidi" w:cstheme="majorBidi"/>
          <w:smallCaps/>
          <w:sz w:val="20"/>
          <w:szCs w:val="20"/>
        </w:rPr>
        <w:t>33 L. &amp; Soc. Inquiry</w:t>
      </w:r>
      <w:r w:rsidRPr="00102CE6">
        <w:rPr>
          <w:rFonts w:asciiTheme="majorBidi" w:hAnsiTheme="majorBidi" w:cstheme="majorBidi"/>
          <w:sz w:val="20"/>
          <w:szCs w:val="20"/>
        </w:rPr>
        <w:t xml:space="preserve"> 195 (2008).</w:t>
      </w:r>
    </w:p>
  </w:footnote>
  <w:footnote w:id="148">
    <w:p w14:paraId="17651FAD" w14:textId="3EC6D3F1" w:rsidR="00802DBC" w:rsidRPr="00DF383F" w:rsidRDefault="00802DBC" w:rsidP="00DE5C80">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CA2399">
        <w:rPr>
          <w:rFonts w:asciiTheme="majorBidi" w:hAnsiTheme="majorBidi" w:cstheme="majorBidi"/>
          <w:i/>
          <w:iCs/>
          <w:sz w:val="20"/>
          <w:szCs w:val="20"/>
        </w:rPr>
        <w:t>Id</w:t>
      </w:r>
      <w:r>
        <w:rPr>
          <w:rFonts w:asciiTheme="majorBidi" w:hAnsiTheme="majorBidi" w:cstheme="majorBidi"/>
          <w:i/>
          <w:iCs/>
          <w:sz w:val="20"/>
          <w:szCs w:val="20"/>
        </w:rPr>
        <w:t>.</w:t>
      </w:r>
      <w:r w:rsidRPr="00CA2399">
        <w:rPr>
          <w:rFonts w:asciiTheme="majorBidi" w:hAnsiTheme="majorBidi" w:cstheme="majorBidi"/>
          <w:i/>
          <w:iCs/>
          <w:sz w:val="20"/>
          <w:szCs w:val="20"/>
        </w:rPr>
        <w:t xml:space="preserve"> </w:t>
      </w:r>
      <w:r w:rsidRPr="00DF383F">
        <w:rPr>
          <w:rFonts w:asciiTheme="majorBidi" w:hAnsiTheme="majorBidi" w:cstheme="majorBidi"/>
          <w:sz w:val="20"/>
          <w:szCs w:val="20"/>
        </w:rPr>
        <w:t>at 197.</w:t>
      </w:r>
    </w:p>
  </w:footnote>
  <w:footnote w:id="149">
    <w:p w14:paraId="2FA29842" w14:textId="687D9270" w:rsidR="00802DBC" w:rsidRPr="00DF383F" w:rsidRDefault="00802DBC" w:rsidP="00DE5C80">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CA2399">
        <w:rPr>
          <w:rFonts w:asciiTheme="majorBidi" w:hAnsiTheme="majorBidi" w:cstheme="majorBidi"/>
          <w:i/>
          <w:iCs/>
          <w:sz w:val="20"/>
          <w:szCs w:val="20"/>
        </w:rPr>
        <w:t>See generally id</w:t>
      </w:r>
      <w:r w:rsidRPr="00DF383F">
        <w:rPr>
          <w:rFonts w:asciiTheme="majorBidi" w:hAnsiTheme="majorBidi" w:cstheme="majorBidi"/>
          <w:sz w:val="20"/>
          <w:szCs w:val="20"/>
        </w:rPr>
        <w:t xml:space="preserve">. </w:t>
      </w:r>
    </w:p>
  </w:footnote>
  <w:footnote w:id="150">
    <w:p w14:paraId="2FBDC22B" w14:textId="43B0E29C" w:rsidR="00802DBC" w:rsidRPr="00DF383F" w:rsidRDefault="00802DBC" w:rsidP="00D81E45">
      <w:pPr>
        <w:pStyle w:val="FootnoteText"/>
        <w:ind w:firstLine="144"/>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CA2399">
        <w:rPr>
          <w:rFonts w:asciiTheme="majorBidi" w:hAnsiTheme="majorBidi" w:cstheme="majorBidi"/>
          <w:i/>
          <w:iCs/>
          <w:sz w:val="20"/>
          <w:szCs w:val="20"/>
        </w:rPr>
        <w:t>See generally id</w:t>
      </w:r>
      <w:r w:rsidRPr="00DF383F">
        <w:rPr>
          <w:rFonts w:asciiTheme="majorBidi" w:hAnsiTheme="majorBidi" w:cstheme="majorBidi"/>
          <w:sz w:val="20"/>
          <w:szCs w:val="20"/>
        </w:rPr>
        <w:t>.</w:t>
      </w:r>
    </w:p>
  </w:footnote>
  <w:footnote w:id="151">
    <w:p w14:paraId="7DEF16D7" w14:textId="0BA886F4" w:rsidR="00802DBC" w:rsidRPr="00EF740A" w:rsidRDefault="00802DBC" w:rsidP="00BC3EC8">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BC3EC8">
        <w:rPr>
          <w:rFonts w:ascii="Times New Roman" w:hAnsi="Times New Roman" w:cs="Times New Roman"/>
          <w:sz w:val="20"/>
          <w:szCs w:val="20"/>
        </w:rPr>
        <w:t xml:space="preserve">Robert Mnookin, </w:t>
      </w:r>
      <w:r w:rsidRPr="00BC3EC8">
        <w:rPr>
          <w:rFonts w:ascii="Times New Roman" w:hAnsi="Times New Roman" w:cs="Times New Roman"/>
          <w:i/>
          <w:sz w:val="20"/>
          <w:szCs w:val="20"/>
        </w:rPr>
        <w:t>Alternative Dispute Resolution</w:t>
      </w:r>
      <w:r w:rsidRPr="00445C4C">
        <w:rPr>
          <w:rFonts w:ascii="Times New Roman" w:hAnsi="Times New Roman" w:cs="Times New Roman"/>
          <w:sz w:val="20"/>
          <w:szCs w:val="20"/>
        </w:rPr>
        <w:t>,</w:t>
      </w:r>
      <w:r w:rsidRPr="00BC3EC8">
        <w:rPr>
          <w:rFonts w:ascii="Times New Roman" w:hAnsi="Times New Roman" w:cs="Times New Roman"/>
          <w:sz w:val="20"/>
          <w:szCs w:val="20"/>
        </w:rPr>
        <w:t xml:space="preserve"> </w:t>
      </w:r>
      <w:proofErr w:type="spellStart"/>
      <w:r w:rsidRPr="001A0B51">
        <w:rPr>
          <w:rFonts w:ascii="Times New Roman" w:hAnsi="Times New Roman" w:cs="Times New Roman"/>
          <w:smallCaps/>
          <w:sz w:val="20"/>
          <w:szCs w:val="20"/>
        </w:rPr>
        <w:t>Harv</w:t>
      </w:r>
      <w:proofErr w:type="spellEnd"/>
      <w:r w:rsidRPr="001A0B51">
        <w:rPr>
          <w:rFonts w:ascii="Times New Roman" w:hAnsi="Times New Roman" w:cs="Times New Roman"/>
          <w:smallCaps/>
          <w:sz w:val="20"/>
          <w:szCs w:val="20"/>
        </w:rPr>
        <w:t>. L. School John M. Olin Ctr. for L., Econ. and Bus. Discussion Paper Series</w:t>
      </w:r>
      <w:r>
        <w:rPr>
          <w:rFonts w:ascii="Times New Roman" w:hAnsi="Times New Roman" w:cs="Times New Roman"/>
          <w:smallCaps/>
          <w:sz w:val="20"/>
          <w:szCs w:val="20"/>
        </w:rPr>
        <w:t xml:space="preserve">, </w:t>
      </w:r>
      <w:r w:rsidRPr="001A0B51">
        <w:rPr>
          <w:rFonts w:ascii="Times New Roman" w:hAnsi="Times New Roman" w:cs="Times New Roman"/>
          <w:sz w:val="20"/>
          <w:szCs w:val="20"/>
        </w:rPr>
        <w:t>http://lsr.nellco.org/cgi/viewcontent.cgi?article=1020&amp;context=harvard_olin.</w:t>
      </w:r>
      <w:r w:rsidRPr="001A0B51">
        <w:rPr>
          <w:rFonts w:ascii="MS Mincho" w:eastAsia="MS Mincho" w:hAnsi="MS Mincho" w:cs="MS Mincho"/>
          <w:sz w:val="20"/>
          <w:szCs w:val="20"/>
        </w:rPr>
        <w:t> </w:t>
      </w:r>
    </w:p>
  </w:footnote>
  <w:footnote w:id="152">
    <w:p w14:paraId="5906EFD9" w14:textId="3974405D" w:rsidR="00802DBC" w:rsidRPr="00445C4C" w:rsidRDefault="00802DBC" w:rsidP="00027E19">
      <w:pPr>
        <w:pStyle w:val="FootnoteText"/>
        <w:ind w:firstLine="144"/>
        <w:jc w:val="both"/>
        <w:rPr>
          <w:rFonts w:ascii="Times New Roman" w:hAnsi="Times New Roman" w:cs="Times New Roman"/>
          <w:sz w:val="20"/>
          <w:szCs w:val="20"/>
        </w:rPr>
      </w:pPr>
      <w:r w:rsidRPr="00445C4C">
        <w:rPr>
          <w:rStyle w:val="FootnoteReference"/>
          <w:rFonts w:ascii="Times New Roman" w:hAnsi="Times New Roman" w:cs="Times New Roman"/>
          <w:sz w:val="20"/>
          <w:szCs w:val="20"/>
        </w:rPr>
        <w:footnoteRef/>
      </w:r>
      <w:r w:rsidRPr="00445C4C">
        <w:rPr>
          <w:rFonts w:ascii="Times New Roman" w:hAnsi="Times New Roman" w:cs="Times New Roman"/>
          <w:sz w:val="20"/>
          <w:szCs w:val="20"/>
        </w:rPr>
        <w:t xml:space="preserve"> </w:t>
      </w:r>
      <w:r w:rsidRPr="00445C4C">
        <w:rPr>
          <w:rFonts w:ascii="Times New Roman" w:hAnsi="Times New Roman" w:cs="Times New Roman"/>
          <w:i/>
          <w:iCs/>
          <w:sz w:val="20"/>
          <w:szCs w:val="20"/>
        </w:rPr>
        <w:t>Dispute Resolution Processes</w:t>
      </w:r>
      <w:r w:rsidRPr="00445C4C">
        <w:rPr>
          <w:rFonts w:ascii="Times New Roman" w:hAnsi="Times New Roman" w:cs="Times New Roman"/>
          <w:sz w:val="20"/>
          <w:szCs w:val="20"/>
        </w:rPr>
        <w:t xml:space="preserve">, </w:t>
      </w:r>
      <w:r w:rsidRPr="00445C4C">
        <w:rPr>
          <w:rFonts w:ascii="Times New Roman" w:hAnsi="Times New Roman" w:cs="Times New Roman"/>
          <w:smallCaps/>
          <w:sz w:val="20"/>
          <w:szCs w:val="20"/>
        </w:rPr>
        <w:t xml:space="preserve">A.B.A. Sec. Dispute </w:t>
      </w:r>
      <w:proofErr w:type="spellStart"/>
      <w:r w:rsidRPr="00445C4C">
        <w:rPr>
          <w:rFonts w:ascii="Times New Roman" w:hAnsi="Times New Roman" w:cs="Times New Roman"/>
          <w:smallCaps/>
          <w:sz w:val="20"/>
          <w:szCs w:val="20"/>
        </w:rPr>
        <w:t>Resol</w:t>
      </w:r>
      <w:proofErr w:type="spellEnd"/>
      <w:r w:rsidRPr="00445C4C">
        <w:rPr>
          <w:rFonts w:ascii="Times New Roman" w:hAnsi="Times New Roman" w:cs="Times New Roman"/>
          <w:smallCaps/>
          <w:sz w:val="20"/>
          <w:szCs w:val="20"/>
        </w:rPr>
        <w:t>.</w:t>
      </w:r>
      <w:r w:rsidRPr="00445C4C">
        <w:rPr>
          <w:rFonts w:ascii="Times New Roman" w:hAnsi="Times New Roman" w:cs="Times New Roman"/>
          <w:sz w:val="20"/>
          <w:szCs w:val="20"/>
        </w:rPr>
        <w:t>, https://www.americanbar.org/groups/dispute_resolution/resources/</w:t>
      </w:r>
      <w:r w:rsidR="005A416B">
        <w:rPr>
          <w:rFonts w:ascii="Times New Roman" w:hAnsi="Times New Roman" w:cs="Times New Roman"/>
          <w:sz w:val="20"/>
          <w:szCs w:val="20"/>
        </w:rPr>
        <w:t>DisputeResolutionProcesses.html</w:t>
      </w:r>
      <w:r w:rsidRPr="00445C4C">
        <w:rPr>
          <w:rFonts w:ascii="Times New Roman" w:hAnsi="Times New Roman" w:cs="Times New Roman"/>
          <w:sz w:val="20"/>
          <w:szCs w:val="20"/>
        </w:rPr>
        <w:t xml:space="preserve"> (last visited </w:t>
      </w:r>
      <w:r>
        <w:rPr>
          <w:rFonts w:ascii="Times New Roman" w:hAnsi="Times New Roman" w:cs="Times New Roman"/>
          <w:sz w:val="20"/>
          <w:szCs w:val="20"/>
        </w:rPr>
        <w:t>Nov. 5, 2016</w:t>
      </w:r>
      <w:r w:rsidRPr="00445C4C">
        <w:rPr>
          <w:rFonts w:ascii="Times New Roman" w:hAnsi="Times New Roman" w:cs="Times New Roman"/>
          <w:sz w:val="20"/>
          <w:szCs w:val="20"/>
        </w:rPr>
        <w:t>)</w:t>
      </w:r>
      <w:r>
        <w:rPr>
          <w:rFonts w:ascii="Times New Roman" w:hAnsi="Times New Roman" w:cs="Times New Roman"/>
          <w:sz w:val="20"/>
          <w:szCs w:val="20"/>
        </w:rPr>
        <w:t>.</w:t>
      </w:r>
    </w:p>
  </w:footnote>
  <w:footnote w:id="153">
    <w:p w14:paraId="286F9378" w14:textId="3604B9D2" w:rsidR="00802DBC" w:rsidRPr="007B2ECC" w:rsidRDefault="00802DBC" w:rsidP="00BC3EC8">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proofErr w:type="spellStart"/>
      <w:r w:rsidRPr="00CA2399">
        <w:rPr>
          <w:rFonts w:asciiTheme="majorBidi" w:hAnsiTheme="majorBidi" w:cstheme="majorBidi"/>
          <w:sz w:val="20"/>
          <w:szCs w:val="20"/>
        </w:rPr>
        <w:t>Meierhenrich</w:t>
      </w:r>
      <w:proofErr w:type="spellEnd"/>
      <w:r w:rsidRPr="00CA2399">
        <w:rPr>
          <w:rFonts w:asciiTheme="majorBidi" w:hAnsiTheme="majorBidi" w:cstheme="majorBidi"/>
          <w:sz w:val="20"/>
          <w:szCs w:val="20"/>
        </w:rPr>
        <w:t xml:space="preserve">, </w:t>
      </w:r>
      <w:r w:rsidRPr="00DF383F">
        <w:rPr>
          <w:rFonts w:asciiTheme="majorBidi" w:hAnsiTheme="majorBidi" w:cstheme="majorBidi"/>
          <w:i/>
          <w:iCs/>
          <w:sz w:val="20"/>
          <w:szCs w:val="20"/>
        </w:rPr>
        <w:t>supra</w:t>
      </w:r>
      <w:r w:rsidRPr="007B2ECC">
        <w:rPr>
          <w:rFonts w:asciiTheme="majorBidi" w:hAnsiTheme="majorBidi" w:cstheme="majorBidi"/>
          <w:sz w:val="20"/>
          <w:szCs w:val="20"/>
        </w:rPr>
        <w:t xml:space="preserve"> note 1</w:t>
      </w:r>
      <w:r>
        <w:rPr>
          <w:rFonts w:asciiTheme="majorBidi" w:hAnsiTheme="majorBidi" w:cstheme="majorBidi"/>
          <w:sz w:val="20"/>
          <w:szCs w:val="20"/>
        </w:rPr>
        <w:t>46</w:t>
      </w:r>
      <w:r w:rsidRPr="007B2ECC">
        <w:rPr>
          <w:rFonts w:asciiTheme="majorBidi" w:hAnsiTheme="majorBidi" w:cstheme="majorBidi"/>
          <w:sz w:val="20"/>
          <w:szCs w:val="20"/>
        </w:rPr>
        <w:t xml:space="preserve">. </w:t>
      </w:r>
    </w:p>
  </w:footnote>
  <w:footnote w:id="154">
    <w:p w14:paraId="58901C91" w14:textId="26B0709D" w:rsidR="00802DBC" w:rsidRPr="00BC3EC8" w:rsidRDefault="00802DBC" w:rsidP="00C156A0">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BC3EC8">
        <w:rPr>
          <w:rFonts w:ascii="Times New Roman" w:hAnsi="Times New Roman" w:cs="Times New Roman"/>
          <w:sz w:val="20"/>
          <w:szCs w:val="20"/>
        </w:rPr>
        <w:t xml:space="preserve">Michael P. Scharf, </w:t>
      </w:r>
      <w:r w:rsidRPr="00BC3EC8">
        <w:rPr>
          <w:rFonts w:ascii="Times New Roman" w:hAnsi="Times New Roman" w:cs="Times New Roman"/>
          <w:i/>
          <w:sz w:val="20"/>
          <w:szCs w:val="20"/>
        </w:rPr>
        <w:t>The Case for a Permanent International Truth Commission</w:t>
      </w:r>
      <w:r w:rsidRPr="00445C4C">
        <w:rPr>
          <w:rFonts w:ascii="Times New Roman" w:hAnsi="Times New Roman" w:cs="Times New Roman"/>
          <w:sz w:val="20"/>
          <w:szCs w:val="20"/>
        </w:rPr>
        <w:t>,</w:t>
      </w:r>
      <w:r w:rsidRPr="00BC3EC8">
        <w:rPr>
          <w:rFonts w:ascii="Times New Roman" w:hAnsi="Times New Roman" w:cs="Times New Roman"/>
          <w:sz w:val="20"/>
          <w:szCs w:val="20"/>
        </w:rPr>
        <w:t xml:space="preserve"> 7 </w:t>
      </w:r>
      <w:r w:rsidRPr="00BC3EC8">
        <w:rPr>
          <w:rFonts w:ascii="Times New Roman" w:hAnsi="Times New Roman" w:cs="Times New Roman"/>
          <w:smallCaps/>
          <w:sz w:val="20"/>
          <w:szCs w:val="20"/>
        </w:rPr>
        <w:t xml:space="preserve">Duke J. Comp. </w:t>
      </w:r>
      <w:r w:rsidR="00C156A0">
        <w:rPr>
          <w:rFonts w:ascii="Times New Roman" w:hAnsi="Times New Roman" w:cs="Times New Roman"/>
          <w:smallCaps/>
          <w:sz w:val="20"/>
          <w:szCs w:val="20"/>
        </w:rPr>
        <w:t>&amp; Int’l</w:t>
      </w:r>
      <w:r w:rsidRPr="00BC3EC8">
        <w:rPr>
          <w:rFonts w:ascii="Times New Roman" w:hAnsi="Times New Roman" w:cs="Times New Roman"/>
          <w:smallCaps/>
          <w:sz w:val="20"/>
          <w:szCs w:val="20"/>
        </w:rPr>
        <w:t xml:space="preserve"> L.</w:t>
      </w:r>
      <w:r w:rsidRPr="00BC3EC8">
        <w:rPr>
          <w:rFonts w:ascii="Times New Roman" w:hAnsi="Times New Roman" w:cs="Times New Roman"/>
          <w:sz w:val="20"/>
          <w:szCs w:val="20"/>
        </w:rPr>
        <w:t xml:space="preserve"> 375, 337</w:t>
      </w:r>
      <w:r>
        <w:rPr>
          <w:rFonts w:ascii="Times New Roman" w:hAnsi="Times New Roman" w:cs="Times New Roman"/>
          <w:sz w:val="20"/>
          <w:szCs w:val="20"/>
        </w:rPr>
        <w:t>–38 (1997).</w:t>
      </w:r>
    </w:p>
  </w:footnote>
  <w:footnote w:id="155">
    <w:p w14:paraId="2BA4BDBE" w14:textId="5B5610AB" w:rsidR="00802DBC" w:rsidRPr="00BC3EC8" w:rsidRDefault="00802DBC" w:rsidP="00B817FD">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BC3EC8">
        <w:rPr>
          <w:rFonts w:ascii="Times New Roman" w:hAnsi="Times New Roman" w:cs="Times New Roman"/>
          <w:i/>
          <w:sz w:val="20"/>
          <w:szCs w:val="20"/>
        </w:rPr>
        <w:t>See generally</w:t>
      </w:r>
      <w:r w:rsidRPr="00BC3EC8">
        <w:rPr>
          <w:rFonts w:ascii="Times New Roman" w:hAnsi="Times New Roman" w:cs="Times New Roman"/>
          <w:iCs/>
          <w:sz w:val="20"/>
          <w:szCs w:val="20"/>
        </w:rPr>
        <w:t xml:space="preserve"> </w:t>
      </w:r>
      <w:r w:rsidRPr="00BC3EC8">
        <w:rPr>
          <w:rFonts w:ascii="Times New Roman" w:hAnsi="Times New Roman" w:cs="Times New Roman"/>
          <w:i/>
          <w:sz w:val="20"/>
          <w:szCs w:val="20"/>
        </w:rPr>
        <w:t>id</w:t>
      </w:r>
      <w:r w:rsidR="00796244">
        <w:rPr>
          <w:rFonts w:ascii="Times New Roman" w:hAnsi="Times New Roman" w:cs="Times New Roman"/>
          <w:sz w:val="20"/>
          <w:szCs w:val="20"/>
        </w:rPr>
        <w:t>.</w:t>
      </w:r>
      <w:r w:rsidRPr="00BC3EC8">
        <w:rPr>
          <w:rFonts w:ascii="Times New Roman" w:hAnsi="Times New Roman" w:cs="Times New Roman"/>
          <w:sz w:val="20"/>
          <w:szCs w:val="20"/>
        </w:rPr>
        <w:t xml:space="preserve"> </w:t>
      </w:r>
      <w:r w:rsidRPr="00EF740A">
        <w:rPr>
          <w:rFonts w:ascii="Times New Roman" w:hAnsi="Times New Roman" w:cs="Times New Roman"/>
          <w:sz w:val="20"/>
          <w:szCs w:val="20"/>
        </w:rPr>
        <w:t xml:space="preserve">Pricilla B. </w:t>
      </w:r>
      <w:proofErr w:type="spellStart"/>
      <w:r w:rsidRPr="00EF740A">
        <w:rPr>
          <w:rFonts w:ascii="Times New Roman" w:hAnsi="Times New Roman" w:cs="Times New Roman"/>
          <w:sz w:val="20"/>
          <w:szCs w:val="20"/>
        </w:rPr>
        <w:t>Hayner</w:t>
      </w:r>
      <w:proofErr w:type="spellEnd"/>
      <w:r w:rsidRPr="00EF740A">
        <w:rPr>
          <w:rFonts w:ascii="Times New Roman" w:hAnsi="Times New Roman" w:cs="Times New Roman"/>
          <w:sz w:val="20"/>
          <w:szCs w:val="20"/>
        </w:rPr>
        <w:t xml:space="preserve">, </w:t>
      </w:r>
      <w:r w:rsidRPr="00CA2399">
        <w:rPr>
          <w:rFonts w:ascii="Times New Roman" w:hAnsi="Times New Roman" w:cs="Times New Roman"/>
          <w:i/>
          <w:sz w:val="20"/>
          <w:szCs w:val="20"/>
        </w:rPr>
        <w:t>Fifteen Truth Commissions—1974 to 1994: A Comparative Study</w:t>
      </w:r>
      <w:r w:rsidRPr="00DF383F">
        <w:rPr>
          <w:rFonts w:ascii="Times New Roman" w:hAnsi="Times New Roman" w:cs="Times New Roman"/>
          <w:sz w:val="20"/>
          <w:szCs w:val="20"/>
        </w:rPr>
        <w:t xml:space="preserve">, 16 </w:t>
      </w:r>
      <w:r w:rsidRPr="007B2ECC">
        <w:rPr>
          <w:rFonts w:ascii="Times New Roman" w:hAnsi="Times New Roman" w:cs="Times New Roman"/>
          <w:smallCaps/>
          <w:sz w:val="20"/>
          <w:szCs w:val="20"/>
        </w:rPr>
        <w:t xml:space="preserve">Hum. </w:t>
      </w:r>
      <w:proofErr w:type="spellStart"/>
      <w:r w:rsidRPr="007B2ECC">
        <w:rPr>
          <w:rFonts w:ascii="Times New Roman" w:hAnsi="Times New Roman" w:cs="Times New Roman"/>
          <w:smallCaps/>
          <w:sz w:val="20"/>
          <w:szCs w:val="20"/>
        </w:rPr>
        <w:t>Rts</w:t>
      </w:r>
      <w:proofErr w:type="spellEnd"/>
      <w:r w:rsidRPr="007B2ECC">
        <w:rPr>
          <w:rFonts w:ascii="Times New Roman" w:hAnsi="Times New Roman" w:cs="Times New Roman"/>
          <w:smallCaps/>
          <w:sz w:val="20"/>
          <w:szCs w:val="20"/>
        </w:rPr>
        <w:t>. Q</w:t>
      </w:r>
      <w:r w:rsidRPr="007B2ECC">
        <w:rPr>
          <w:rFonts w:ascii="Times New Roman" w:hAnsi="Times New Roman" w:cs="Times New Roman"/>
          <w:sz w:val="20"/>
          <w:szCs w:val="20"/>
        </w:rPr>
        <w:t xml:space="preserve">. 597; </w:t>
      </w:r>
      <w:r w:rsidRPr="000C4D14">
        <w:rPr>
          <w:rFonts w:ascii="Times New Roman" w:hAnsi="Times New Roman" w:cs="Times New Roman"/>
          <w:sz w:val="20"/>
          <w:szCs w:val="20"/>
        </w:rPr>
        <w:t xml:space="preserve">Gabor Rona, </w:t>
      </w:r>
      <w:r>
        <w:rPr>
          <w:rFonts w:ascii="Times New Roman" w:hAnsi="Times New Roman" w:cs="Times New Roman"/>
          <w:sz w:val="20"/>
          <w:szCs w:val="20"/>
        </w:rPr>
        <w:t>Visiting Professor, Benjamin N. Cardozo School of Law, Lecture (Nov. 13, 2016)</w:t>
      </w:r>
      <w:r w:rsidRPr="000C4D14">
        <w:rPr>
          <w:rFonts w:ascii="Times New Roman" w:hAnsi="Times New Roman" w:cs="Times New Roman"/>
          <w:sz w:val="20"/>
          <w:szCs w:val="20"/>
        </w:rPr>
        <w:t>.</w:t>
      </w:r>
    </w:p>
  </w:footnote>
  <w:footnote w:id="156">
    <w:p w14:paraId="6A0FFE68" w14:textId="6A973150" w:rsidR="00802DBC" w:rsidRPr="00102CE6" w:rsidRDefault="00802DBC" w:rsidP="00B03937">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CA2399">
        <w:rPr>
          <w:rFonts w:ascii="Times New Roman" w:hAnsi="Times New Roman" w:cs="Times New Roman"/>
          <w:sz w:val="20"/>
          <w:szCs w:val="20"/>
        </w:rPr>
        <w:t>Truth commissions hear the stories of all victims, many of whom are regular citizens. However, their capacities are often limit</w:t>
      </w:r>
      <w:r w:rsidRPr="00DF383F">
        <w:rPr>
          <w:rFonts w:ascii="Times New Roman" w:hAnsi="Times New Roman" w:cs="Times New Roman"/>
          <w:sz w:val="20"/>
          <w:szCs w:val="20"/>
        </w:rPr>
        <w:t>ed, and they are unable to address the needs of the</w:t>
      </w:r>
      <w:r w:rsidRPr="007B2ECC">
        <w:rPr>
          <w:rFonts w:ascii="Times New Roman" w:hAnsi="Times New Roman" w:cs="Times New Roman"/>
          <w:sz w:val="20"/>
          <w:szCs w:val="20"/>
        </w:rPr>
        <w:t xml:space="preserve"> entire population. Additionally, some critics of truth commissions feel that like traditional adjudication, truth commissions are another form of victors’ justice, and that they are structured to benefit the regime in power after the conflict and legitimiz</w:t>
      </w:r>
      <w:r w:rsidRPr="00102CE6">
        <w:rPr>
          <w:rFonts w:ascii="Times New Roman" w:hAnsi="Times New Roman" w:cs="Times New Roman"/>
          <w:sz w:val="20"/>
          <w:szCs w:val="20"/>
        </w:rPr>
        <w:t xml:space="preserve">e it. </w:t>
      </w:r>
    </w:p>
  </w:footnote>
  <w:footnote w:id="157">
    <w:p w14:paraId="029FDA90" w14:textId="536B6E28" w:rsidR="00802DBC" w:rsidRPr="00BC3EC8" w:rsidRDefault="00802DBC" w:rsidP="001200B8">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BC3EC8">
        <w:rPr>
          <w:rFonts w:ascii="Times New Roman" w:hAnsi="Times New Roman" w:cs="Times New Roman"/>
          <w:sz w:val="20"/>
          <w:szCs w:val="20"/>
        </w:rPr>
        <w:t xml:space="preserve">Scharf, </w:t>
      </w:r>
      <w:r w:rsidRPr="00BC3EC8">
        <w:rPr>
          <w:rFonts w:ascii="Times New Roman" w:hAnsi="Times New Roman" w:cs="Times New Roman"/>
          <w:i/>
          <w:iCs/>
          <w:sz w:val="20"/>
          <w:szCs w:val="20"/>
        </w:rPr>
        <w:t xml:space="preserve">supra </w:t>
      </w:r>
      <w:r w:rsidRPr="00BC3EC8">
        <w:rPr>
          <w:rFonts w:ascii="Times New Roman" w:hAnsi="Times New Roman" w:cs="Times New Roman"/>
          <w:sz w:val="20"/>
          <w:szCs w:val="20"/>
        </w:rPr>
        <w:t>note 1</w:t>
      </w:r>
      <w:r>
        <w:rPr>
          <w:rFonts w:ascii="Times New Roman" w:hAnsi="Times New Roman" w:cs="Times New Roman"/>
          <w:sz w:val="20"/>
          <w:szCs w:val="20"/>
        </w:rPr>
        <w:t>53</w:t>
      </w:r>
      <w:r w:rsidRPr="00BC3EC8">
        <w:rPr>
          <w:rFonts w:ascii="Times New Roman" w:hAnsi="Times New Roman" w:cs="Times New Roman"/>
          <w:sz w:val="20"/>
          <w:szCs w:val="20"/>
        </w:rPr>
        <w:t>, at 379.</w:t>
      </w:r>
    </w:p>
  </w:footnote>
  <w:footnote w:id="158">
    <w:p w14:paraId="499086AD" w14:textId="41CEDFE7" w:rsidR="00802DBC" w:rsidRPr="00BC3EC8" w:rsidRDefault="00802DBC" w:rsidP="00111B01">
      <w:pPr>
        <w:ind w:firstLine="144"/>
        <w:jc w:val="both"/>
        <w:rPr>
          <w:rFonts w:ascii="Times New Roman" w:eastAsia="Times New Roman" w:hAnsi="Times New Roman" w:cs="Times New Roman"/>
          <w:i/>
          <w:sz w:val="20"/>
          <w:szCs w:val="20"/>
        </w:rPr>
      </w:pPr>
      <w:r w:rsidRPr="00EF740A">
        <w:rPr>
          <w:rStyle w:val="FootnoteReference"/>
          <w:rFonts w:ascii="Times New Roman" w:hAnsi="Times New Roman" w:cs="Times New Roman"/>
          <w:sz w:val="20"/>
          <w:szCs w:val="20"/>
        </w:rPr>
        <w:footnoteRef/>
      </w:r>
      <w:r w:rsidRPr="00CA2399">
        <w:rPr>
          <w:rFonts w:ascii="Times New Roman" w:hAnsi="Times New Roman" w:cs="Times New Roman"/>
          <w:sz w:val="20"/>
          <w:szCs w:val="20"/>
        </w:rPr>
        <w:t xml:space="preserve"> </w:t>
      </w:r>
      <w:r w:rsidRPr="00445C4C">
        <w:rPr>
          <w:rFonts w:ascii="Times New Roman" w:hAnsi="Times New Roman" w:cs="Times New Roman"/>
          <w:i/>
          <w:sz w:val="20"/>
          <w:szCs w:val="20"/>
        </w:rPr>
        <w:t>Mediation</w:t>
      </w:r>
      <w:r>
        <w:rPr>
          <w:rFonts w:ascii="Times New Roman" w:hAnsi="Times New Roman" w:cs="Times New Roman"/>
          <w:sz w:val="20"/>
          <w:szCs w:val="20"/>
        </w:rPr>
        <w:t xml:space="preserve">, </w:t>
      </w:r>
      <w:r w:rsidRPr="00BC3EC8">
        <w:rPr>
          <w:rFonts w:ascii="Times New Roman" w:eastAsia="Times New Roman" w:hAnsi="Times New Roman" w:cs="Times New Roman"/>
          <w:smallCaps/>
          <w:sz w:val="20"/>
          <w:szCs w:val="20"/>
        </w:rPr>
        <w:t>Black's Law Dictionary</w:t>
      </w:r>
      <w:r w:rsidRPr="00BC3EC8">
        <w:rPr>
          <w:rFonts w:ascii="Times New Roman" w:eastAsia="Times New Roman" w:hAnsi="Times New Roman" w:cs="Times New Roman"/>
          <w:sz w:val="20"/>
          <w:szCs w:val="20"/>
        </w:rPr>
        <w:t xml:space="preserve"> (10th ed. 2014); A</w:t>
      </w:r>
      <w:r>
        <w:rPr>
          <w:rFonts w:ascii="Times New Roman" w:eastAsia="Times New Roman" w:hAnsi="Times New Roman" w:cs="Times New Roman"/>
          <w:sz w:val="20"/>
          <w:szCs w:val="20"/>
        </w:rPr>
        <w:t xml:space="preserve">m. </w:t>
      </w:r>
      <w:r w:rsidRPr="00BC3EC8">
        <w:rPr>
          <w:rFonts w:ascii="Times New Roman" w:eastAsia="Times New Roman" w:hAnsi="Times New Roman" w:cs="Times New Roman"/>
          <w:sz w:val="20"/>
          <w:szCs w:val="20"/>
        </w:rPr>
        <w:t>B</w:t>
      </w:r>
      <w:r>
        <w:rPr>
          <w:rFonts w:ascii="Times New Roman" w:eastAsia="Times New Roman" w:hAnsi="Times New Roman" w:cs="Times New Roman"/>
          <w:sz w:val="20"/>
          <w:szCs w:val="20"/>
        </w:rPr>
        <w:t xml:space="preserve">ar </w:t>
      </w:r>
      <w:proofErr w:type="spellStart"/>
      <w:r w:rsidRPr="00BC3EC8">
        <w:rPr>
          <w:rFonts w:ascii="Times New Roman" w:eastAsia="Times New Roman" w:hAnsi="Times New Roman" w:cs="Times New Roman"/>
          <w:sz w:val="20"/>
          <w:szCs w:val="20"/>
        </w:rPr>
        <w:t>A</w:t>
      </w:r>
      <w:r>
        <w:rPr>
          <w:rFonts w:ascii="Times New Roman" w:eastAsia="Times New Roman" w:hAnsi="Times New Roman" w:cs="Times New Roman"/>
          <w:sz w:val="20"/>
          <w:szCs w:val="20"/>
        </w:rPr>
        <w:t>ss’n</w:t>
      </w:r>
      <w:proofErr w:type="spellEnd"/>
      <w:r w:rsidRPr="00BC3EC8">
        <w:rPr>
          <w:rFonts w:ascii="Times New Roman" w:eastAsia="Times New Roman" w:hAnsi="Times New Roman" w:cs="Times New Roman"/>
          <w:sz w:val="20"/>
          <w:szCs w:val="20"/>
        </w:rPr>
        <w:t xml:space="preserve">, </w:t>
      </w:r>
      <w:r w:rsidRPr="00BC3EC8">
        <w:rPr>
          <w:rFonts w:ascii="Times New Roman" w:eastAsia="Times New Roman" w:hAnsi="Times New Roman" w:cs="Times New Roman"/>
          <w:i/>
          <w:sz w:val="20"/>
          <w:szCs w:val="20"/>
        </w:rPr>
        <w:t>The Road to Settlement: ADR Offers Cost—Effective Alternatives to Trial</w:t>
      </w:r>
      <w:r w:rsidRPr="00BC3EC8">
        <w:rPr>
          <w:rFonts w:ascii="Times New Roman" w:eastAsia="Times New Roman" w:hAnsi="Times New Roman" w:cs="Times New Roman"/>
          <w:sz w:val="20"/>
          <w:szCs w:val="20"/>
        </w:rPr>
        <w:t xml:space="preserve">, 28 </w:t>
      </w:r>
      <w:r w:rsidRPr="00445C4C">
        <w:rPr>
          <w:rFonts w:ascii="Times New Roman" w:eastAsia="Times New Roman" w:hAnsi="Times New Roman" w:cs="Times New Roman"/>
          <w:smallCaps/>
          <w:sz w:val="20"/>
          <w:szCs w:val="20"/>
        </w:rPr>
        <w:t xml:space="preserve">A.B.A. Sec. </w:t>
      </w:r>
      <w:r w:rsidRPr="001F2EFA">
        <w:rPr>
          <w:rFonts w:ascii="Times New Roman" w:eastAsia="Times New Roman" w:hAnsi="Times New Roman" w:cs="Times New Roman"/>
          <w:smallCaps/>
          <w:sz w:val="20"/>
          <w:szCs w:val="20"/>
        </w:rPr>
        <w:t xml:space="preserve">Fam. </w:t>
      </w:r>
      <w:proofErr w:type="spellStart"/>
      <w:r w:rsidRPr="001F2EFA">
        <w:rPr>
          <w:rFonts w:ascii="Times New Roman" w:eastAsia="Times New Roman" w:hAnsi="Times New Roman" w:cs="Times New Roman"/>
          <w:smallCaps/>
          <w:sz w:val="20"/>
          <w:szCs w:val="20"/>
        </w:rPr>
        <w:t>Advoc</w:t>
      </w:r>
      <w:proofErr w:type="spellEnd"/>
      <w:r w:rsidRPr="001F2EFA">
        <w:rPr>
          <w:rFonts w:ascii="Times New Roman" w:eastAsia="Times New Roman" w:hAnsi="Times New Roman" w:cs="Times New Roman"/>
          <w:smallCaps/>
          <w:sz w:val="20"/>
          <w:szCs w:val="20"/>
        </w:rPr>
        <w:t>.</w:t>
      </w:r>
      <w:r w:rsidR="00796244">
        <w:rPr>
          <w:rFonts w:ascii="Times New Roman" w:eastAsia="Times New Roman" w:hAnsi="Times New Roman" w:cs="Times New Roman"/>
          <w:smallCaps/>
          <w:sz w:val="20"/>
          <w:szCs w:val="20"/>
        </w:rPr>
        <w:t xml:space="preserve"> 10, </w:t>
      </w:r>
      <w:r w:rsidRPr="00BC3EC8">
        <w:rPr>
          <w:rFonts w:ascii="Times New Roman" w:eastAsia="Times New Roman" w:hAnsi="Times New Roman" w:cs="Times New Roman"/>
          <w:sz w:val="20"/>
          <w:szCs w:val="20"/>
        </w:rPr>
        <w:t>10</w:t>
      </w:r>
      <w:r>
        <w:rPr>
          <w:rFonts w:ascii="Times New Roman" w:eastAsia="Times New Roman" w:hAnsi="Times New Roman" w:cs="Times New Roman"/>
          <w:sz w:val="20"/>
          <w:szCs w:val="20"/>
        </w:rPr>
        <w:t>–</w:t>
      </w:r>
      <w:r w:rsidRPr="00BC3EC8">
        <w:rPr>
          <w:rFonts w:ascii="Times New Roman" w:eastAsia="Times New Roman" w:hAnsi="Times New Roman" w:cs="Times New Roman"/>
          <w:sz w:val="20"/>
          <w:szCs w:val="20"/>
        </w:rPr>
        <w:t>12 (2005).</w:t>
      </w:r>
    </w:p>
  </w:footnote>
  <w:footnote w:id="159">
    <w:p w14:paraId="4B31C3AF" w14:textId="393433CE" w:rsidR="00802DBC" w:rsidRPr="00BC3EC8" w:rsidRDefault="00802DBC" w:rsidP="009C704A">
      <w:pPr>
        <w:widowControl w:val="0"/>
        <w:autoSpaceDE w:val="0"/>
        <w:autoSpaceDN w:val="0"/>
        <w:adjustRightInd w:val="0"/>
        <w:ind w:firstLine="144"/>
        <w:jc w:val="both"/>
        <w:rPr>
          <w:rFonts w:ascii="Times New Roman" w:hAnsi="Times New Roman" w:cs="Times New Roman"/>
          <w:sz w:val="20"/>
          <w:szCs w:val="20"/>
        </w:rPr>
      </w:pPr>
      <w:r w:rsidRPr="00EF740A">
        <w:rPr>
          <w:rStyle w:val="FootnoteReference"/>
          <w:rFonts w:asciiTheme="majorBidi" w:hAnsiTheme="majorBidi" w:cstheme="majorBidi"/>
          <w:sz w:val="20"/>
          <w:szCs w:val="20"/>
        </w:rPr>
        <w:footnoteRef/>
      </w:r>
      <w:r w:rsidRPr="00CA2399">
        <w:rPr>
          <w:rFonts w:asciiTheme="majorBidi" w:hAnsiTheme="majorBidi" w:cstheme="majorBidi"/>
          <w:sz w:val="20"/>
          <w:szCs w:val="20"/>
        </w:rPr>
        <w:t xml:space="preserve"> </w:t>
      </w:r>
      <w:r w:rsidRPr="00DF383F">
        <w:rPr>
          <w:rFonts w:ascii="Times New Roman" w:hAnsi="Times New Roman" w:cs="Times New Roman"/>
          <w:sz w:val="20"/>
          <w:szCs w:val="20"/>
        </w:rPr>
        <w:t>Another key aspect of truth commi</w:t>
      </w:r>
      <w:r w:rsidRPr="007B2ECC">
        <w:rPr>
          <w:rFonts w:ascii="Times New Roman" w:hAnsi="Times New Roman" w:cs="Times New Roman"/>
          <w:sz w:val="20"/>
          <w:szCs w:val="20"/>
        </w:rPr>
        <w:t>s</w:t>
      </w:r>
      <w:r w:rsidRPr="00102CE6">
        <w:rPr>
          <w:rFonts w:ascii="Times New Roman" w:hAnsi="Times New Roman" w:cs="Times New Roman"/>
          <w:sz w:val="20"/>
          <w:szCs w:val="20"/>
        </w:rPr>
        <w:t>sions is that they are typically state sanctioned and sponsored.</w:t>
      </w:r>
      <w:r w:rsidRPr="003E6AD5">
        <w:rPr>
          <w:rFonts w:asciiTheme="majorBidi" w:hAnsiTheme="majorBidi" w:cstheme="majorBidi"/>
          <w:sz w:val="20"/>
          <w:szCs w:val="20"/>
        </w:rPr>
        <w:t xml:space="preserve"> This is for several reasons: first, the new state is more likely to govern effectively if there has been reconciliation, and if all of the nationals accept the legitimacy of the new state. It is therefore in the inter</w:t>
      </w:r>
      <w:r w:rsidRPr="0043061D">
        <w:rPr>
          <w:rFonts w:asciiTheme="majorBidi" w:hAnsiTheme="majorBidi" w:cstheme="majorBidi"/>
          <w:sz w:val="20"/>
          <w:szCs w:val="20"/>
        </w:rPr>
        <w:t>est of</w:t>
      </w:r>
      <w:r w:rsidRPr="00EF740A">
        <w:rPr>
          <w:rFonts w:asciiTheme="majorBidi" w:hAnsiTheme="majorBidi" w:cstheme="majorBidi"/>
          <w:sz w:val="20"/>
          <w:szCs w:val="20"/>
        </w:rPr>
        <w:t xml:space="preserve"> the state to promote reconciliation. Second, truth commissions often function as an alternative to criminal prosecution, and some truth commissions grant amnesty to the perpetrators. Only the state can grant amnesty, thus truth commissions require minimal state approval.</w:t>
      </w:r>
      <w:r w:rsidRPr="00BC3EC8">
        <w:rPr>
          <w:rFonts w:ascii="Times New Roman" w:hAnsi="Times New Roman" w:cs="Times New Roman"/>
          <w:sz w:val="20"/>
          <w:szCs w:val="20"/>
        </w:rPr>
        <w:t xml:space="preserve"> </w:t>
      </w:r>
      <w:r w:rsidRPr="00BC3EC8">
        <w:rPr>
          <w:rFonts w:ascii="Times New Roman" w:hAnsi="Times New Roman" w:cs="Times New Roman"/>
          <w:smallCaps/>
          <w:sz w:val="20"/>
          <w:szCs w:val="20"/>
        </w:rPr>
        <w:t xml:space="preserve">Louis </w:t>
      </w:r>
      <w:proofErr w:type="spellStart"/>
      <w:r w:rsidRPr="00BC3EC8">
        <w:rPr>
          <w:rFonts w:ascii="Times New Roman" w:hAnsi="Times New Roman" w:cs="Times New Roman"/>
          <w:smallCaps/>
          <w:sz w:val="20"/>
          <w:szCs w:val="20"/>
        </w:rPr>
        <w:t>Henkin</w:t>
      </w:r>
      <w:proofErr w:type="spellEnd"/>
      <w:r>
        <w:rPr>
          <w:rFonts w:ascii="Times New Roman" w:hAnsi="Times New Roman" w:cs="Times New Roman"/>
          <w:smallCaps/>
          <w:sz w:val="20"/>
          <w:szCs w:val="20"/>
        </w:rPr>
        <w:t xml:space="preserve"> et al.,</w:t>
      </w:r>
      <w:r w:rsidRPr="00BC3EC8">
        <w:rPr>
          <w:rFonts w:ascii="Times New Roman" w:hAnsi="Times New Roman" w:cs="Times New Roman"/>
          <w:smallCaps/>
          <w:sz w:val="20"/>
          <w:szCs w:val="20"/>
        </w:rPr>
        <w:t xml:space="preserve"> Human Rights </w:t>
      </w:r>
      <w:r w:rsidRPr="00BC3EC8">
        <w:rPr>
          <w:rFonts w:ascii="Times New Roman" w:hAnsi="Times New Roman" w:cs="Times New Roman"/>
          <w:sz w:val="20"/>
          <w:szCs w:val="20"/>
        </w:rPr>
        <w:t>(2</w:t>
      </w:r>
      <w:r w:rsidRPr="00BC3EC8">
        <w:rPr>
          <w:rFonts w:ascii="Times New Roman" w:hAnsi="Times New Roman" w:cs="Times New Roman"/>
          <w:sz w:val="20"/>
          <w:szCs w:val="20"/>
          <w:vertAlign w:val="superscript"/>
        </w:rPr>
        <w:t>nd</w:t>
      </w:r>
      <w:r w:rsidRPr="00BC3EC8">
        <w:rPr>
          <w:rFonts w:ascii="Times New Roman" w:hAnsi="Times New Roman" w:cs="Times New Roman"/>
          <w:sz w:val="20"/>
          <w:szCs w:val="20"/>
        </w:rPr>
        <w:t xml:space="preserve"> ed. 2009); Scharf, </w:t>
      </w:r>
      <w:r w:rsidRPr="00BC3EC8">
        <w:rPr>
          <w:rFonts w:ascii="Times New Roman" w:hAnsi="Times New Roman" w:cs="Times New Roman"/>
          <w:i/>
          <w:iCs/>
          <w:sz w:val="20"/>
          <w:szCs w:val="20"/>
        </w:rPr>
        <w:t xml:space="preserve">supra </w:t>
      </w:r>
      <w:r w:rsidRPr="00BC3EC8">
        <w:rPr>
          <w:rFonts w:ascii="Times New Roman" w:hAnsi="Times New Roman" w:cs="Times New Roman"/>
          <w:sz w:val="20"/>
          <w:szCs w:val="20"/>
        </w:rPr>
        <w:t>note 15</w:t>
      </w:r>
      <w:r>
        <w:rPr>
          <w:rFonts w:ascii="Times New Roman" w:hAnsi="Times New Roman" w:cs="Times New Roman"/>
          <w:sz w:val="20"/>
          <w:szCs w:val="20"/>
        </w:rPr>
        <w:t>3</w:t>
      </w:r>
      <w:r w:rsidRPr="00BC3EC8">
        <w:rPr>
          <w:rFonts w:ascii="Times New Roman" w:hAnsi="Times New Roman" w:cs="Times New Roman"/>
          <w:sz w:val="20"/>
          <w:szCs w:val="20"/>
        </w:rPr>
        <w:t xml:space="preserve">; Jonathan Allen, </w:t>
      </w:r>
      <w:r w:rsidRPr="00BC3EC8">
        <w:rPr>
          <w:rFonts w:ascii="Times New Roman" w:hAnsi="Times New Roman" w:cs="Times New Roman"/>
          <w:i/>
          <w:sz w:val="20"/>
          <w:szCs w:val="20"/>
        </w:rPr>
        <w:t>Balancing Justice and Social Unity: Political Theory and the Idea of a Truth and Reconciliation Commission</w:t>
      </w:r>
      <w:r w:rsidRPr="00445C4C">
        <w:rPr>
          <w:rFonts w:ascii="Times New Roman" w:hAnsi="Times New Roman" w:cs="Times New Roman"/>
          <w:sz w:val="20"/>
          <w:szCs w:val="20"/>
        </w:rPr>
        <w:t>,</w:t>
      </w:r>
      <w:r w:rsidRPr="00BC3EC8">
        <w:rPr>
          <w:rFonts w:ascii="Times New Roman" w:hAnsi="Times New Roman" w:cs="Times New Roman"/>
          <w:i/>
          <w:sz w:val="20"/>
          <w:szCs w:val="20"/>
        </w:rPr>
        <w:t xml:space="preserve"> </w:t>
      </w:r>
      <w:r w:rsidRPr="00BC3EC8">
        <w:rPr>
          <w:rFonts w:ascii="Times New Roman" w:hAnsi="Times New Roman" w:cs="Times New Roman"/>
          <w:sz w:val="20"/>
          <w:szCs w:val="20"/>
        </w:rPr>
        <w:t xml:space="preserve">49 </w:t>
      </w:r>
      <w:r w:rsidR="00796244">
        <w:rPr>
          <w:rFonts w:ascii="Times New Roman" w:hAnsi="Times New Roman" w:cs="Times New Roman"/>
          <w:smallCaps/>
          <w:sz w:val="20"/>
          <w:szCs w:val="20"/>
        </w:rPr>
        <w:t xml:space="preserve">U. </w:t>
      </w:r>
      <w:r w:rsidRPr="00BC3EC8">
        <w:rPr>
          <w:rFonts w:ascii="Times New Roman" w:hAnsi="Times New Roman" w:cs="Times New Roman"/>
          <w:smallCaps/>
          <w:sz w:val="20"/>
          <w:szCs w:val="20"/>
        </w:rPr>
        <w:t xml:space="preserve"> Toronto L.J.</w:t>
      </w:r>
      <w:r w:rsidRPr="00BC3EC8">
        <w:rPr>
          <w:rFonts w:ascii="Times New Roman" w:hAnsi="Times New Roman" w:cs="Times New Roman"/>
          <w:sz w:val="20"/>
          <w:szCs w:val="20"/>
        </w:rPr>
        <w:t xml:space="preserve"> 315</w:t>
      </w:r>
      <w:r>
        <w:rPr>
          <w:rFonts w:ascii="Times New Roman" w:hAnsi="Times New Roman" w:cs="Times New Roman"/>
          <w:sz w:val="20"/>
          <w:szCs w:val="20"/>
        </w:rPr>
        <w:t xml:space="preserve"> (1999).</w:t>
      </w:r>
    </w:p>
  </w:footnote>
  <w:footnote w:id="160">
    <w:p w14:paraId="488B75D0" w14:textId="7EF1DB9E" w:rsidR="00802DBC" w:rsidRPr="00BC3EC8" w:rsidRDefault="00802DBC" w:rsidP="009C704A">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proofErr w:type="spellStart"/>
      <w:r w:rsidRPr="00CA2399">
        <w:rPr>
          <w:rFonts w:ascii="Times New Roman" w:hAnsi="Times New Roman" w:cs="Times New Roman"/>
          <w:sz w:val="20"/>
          <w:szCs w:val="20"/>
        </w:rPr>
        <w:t>Hayner</w:t>
      </w:r>
      <w:proofErr w:type="spellEnd"/>
      <w:r w:rsidRPr="00CA2399">
        <w:rPr>
          <w:rFonts w:ascii="Times New Roman" w:hAnsi="Times New Roman" w:cs="Times New Roman"/>
          <w:sz w:val="20"/>
          <w:szCs w:val="20"/>
        </w:rPr>
        <w:t xml:space="preserve">, </w:t>
      </w:r>
      <w:r w:rsidRPr="00DF383F">
        <w:rPr>
          <w:rFonts w:ascii="Times New Roman" w:hAnsi="Times New Roman" w:cs="Times New Roman"/>
          <w:i/>
          <w:iCs/>
          <w:sz w:val="20"/>
          <w:szCs w:val="20"/>
        </w:rPr>
        <w:t xml:space="preserve">supra </w:t>
      </w:r>
      <w:r w:rsidRPr="007B2ECC">
        <w:rPr>
          <w:rFonts w:ascii="Times New Roman" w:hAnsi="Times New Roman" w:cs="Times New Roman"/>
          <w:sz w:val="20"/>
          <w:szCs w:val="20"/>
        </w:rPr>
        <w:t>note 15</w:t>
      </w:r>
      <w:r>
        <w:rPr>
          <w:rFonts w:ascii="Times New Roman" w:hAnsi="Times New Roman" w:cs="Times New Roman"/>
          <w:sz w:val="20"/>
          <w:szCs w:val="20"/>
        </w:rPr>
        <w:t>4</w:t>
      </w:r>
      <w:r w:rsidRPr="007B2ECC">
        <w:rPr>
          <w:rFonts w:ascii="Times New Roman" w:hAnsi="Times New Roman" w:cs="Times New Roman"/>
          <w:sz w:val="20"/>
          <w:szCs w:val="20"/>
        </w:rPr>
        <w:t xml:space="preserve">, at 611; </w:t>
      </w:r>
      <w:r w:rsidRPr="00102CE6">
        <w:rPr>
          <w:rFonts w:ascii="Times New Roman" w:hAnsi="Times New Roman" w:cs="Times New Roman"/>
          <w:i/>
          <w:sz w:val="20"/>
          <w:szCs w:val="20"/>
        </w:rPr>
        <w:t xml:space="preserve">see also </w:t>
      </w:r>
      <w:proofErr w:type="spellStart"/>
      <w:r w:rsidRPr="00BC3EC8">
        <w:rPr>
          <w:rFonts w:ascii="Times New Roman" w:hAnsi="Times New Roman" w:cs="Times New Roman"/>
          <w:smallCaps/>
          <w:sz w:val="20"/>
          <w:szCs w:val="20"/>
        </w:rPr>
        <w:t>Henkin</w:t>
      </w:r>
      <w:proofErr w:type="spellEnd"/>
      <w:r w:rsidRPr="00BC3EC8">
        <w:rPr>
          <w:rFonts w:ascii="Times New Roman" w:hAnsi="Times New Roman" w:cs="Times New Roman"/>
          <w:smallCaps/>
          <w:sz w:val="20"/>
          <w:szCs w:val="20"/>
        </w:rPr>
        <w:t xml:space="preserve"> </w:t>
      </w:r>
      <w:r w:rsidRPr="00445C4C">
        <w:rPr>
          <w:rFonts w:ascii="Times New Roman" w:hAnsi="Times New Roman" w:cs="Times New Roman"/>
          <w:smallCaps/>
          <w:sz w:val="20"/>
          <w:szCs w:val="20"/>
        </w:rPr>
        <w:t>et. al</w:t>
      </w:r>
      <w:r w:rsidRPr="00BC3EC8">
        <w:rPr>
          <w:rFonts w:ascii="Times New Roman" w:hAnsi="Times New Roman" w:cs="Times New Roman"/>
          <w:sz w:val="20"/>
          <w:szCs w:val="20"/>
        </w:rPr>
        <w:t>.</w:t>
      </w:r>
      <w:r>
        <w:rPr>
          <w:rFonts w:ascii="Times New Roman" w:hAnsi="Times New Roman" w:cs="Times New Roman"/>
          <w:sz w:val="20"/>
          <w:szCs w:val="20"/>
        </w:rPr>
        <w:t>,</w:t>
      </w:r>
      <w:r w:rsidRPr="00BC3EC8">
        <w:rPr>
          <w:rFonts w:ascii="Times New Roman" w:hAnsi="Times New Roman" w:cs="Times New Roman"/>
          <w:sz w:val="20"/>
          <w:szCs w:val="20"/>
        </w:rPr>
        <w:t xml:space="preserve"> </w:t>
      </w:r>
      <w:r w:rsidRPr="00BC3EC8">
        <w:rPr>
          <w:rFonts w:ascii="Times New Roman" w:hAnsi="Times New Roman" w:cs="Times New Roman"/>
          <w:i/>
          <w:iCs/>
          <w:sz w:val="20"/>
          <w:szCs w:val="20"/>
        </w:rPr>
        <w:t>supra</w:t>
      </w:r>
      <w:r w:rsidRPr="00BC3EC8">
        <w:rPr>
          <w:rFonts w:ascii="Times New Roman" w:hAnsi="Times New Roman" w:cs="Times New Roman"/>
          <w:sz w:val="20"/>
          <w:szCs w:val="20"/>
        </w:rPr>
        <w:t xml:space="preserve"> note 1</w:t>
      </w:r>
      <w:r w:rsidR="00796244">
        <w:rPr>
          <w:rFonts w:ascii="Times New Roman" w:hAnsi="Times New Roman" w:cs="Times New Roman"/>
          <w:sz w:val="20"/>
          <w:szCs w:val="20"/>
        </w:rPr>
        <w:t>58</w:t>
      </w:r>
      <w:r w:rsidRPr="00BC3EC8">
        <w:rPr>
          <w:rFonts w:ascii="Times New Roman" w:hAnsi="Times New Roman" w:cs="Times New Roman"/>
          <w:sz w:val="20"/>
          <w:szCs w:val="20"/>
        </w:rPr>
        <w:t xml:space="preserve">. </w:t>
      </w:r>
    </w:p>
  </w:footnote>
  <w:footnote w:id="161">
    <w:p w14:paraId="29338AAD" w14:textId="1F8343B9" w:rsidR="00802DBC" w:rsidRPr="00EF740A" w:rsidRDefault="00802DBC" w:rsidP="009C704A">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BC3EC8">
        <w:rPr>
          <w:rFonts w:ascii="Times New Roman" w:hAnsi="Times New Roman" w:cs="Times New Roman"/>
          <w:i/>
          <w:sz w:val="20"/>
          <w:szCs w:val="20"/>
        </w:rPr>
        <w:t>See generally</w:t>
      </w:r>
      <w:r w:rsidRPr="00BC3EC8">
        <w:rPr>
          <w:rFonts w:ascii="Times New Roman" w:hAnsi="Times New Roman" w:cs="Times New Roman"/>
          <w:sz w:val="20"/>
          <w:szCs w:val="20"/>
        </w:rPr>
        <w:t xml:space="preserve"> </w:t>
      </w:r>
      <w:proofErr w:type="spellStart"/>
      <w:r w:rsidRPr="00CA2399">
        <w:rPr>
          <w:rFonts w:ascii="Times New Roman" w:hAnsi="Times New Roman" w:cs="Times New Roman"/>
          <w:sz w:val="20"/>
          <w:szCs w:val="20"/>
        </w:rPr>
        <w:t>Hayner</w:t>
      </w:r>
      <w:proofErr w:type="spellEnd"/>
      <w:r w:rsidRPr="00CA2399">
        <w:rPr>
          <w:rFonts w:ascii="Times New Roman" w:hAnsi="Times New Roman" w:cs="Times New Roman"/>
          <w:sz w:val="20"/>
          <w:szCs w:val="20"/>
        </w:rPr>
        <w:t xml:space="preserve">, </w:t>
      </w:r>
      <w:r w:rsidRPr="00DF383F">
        <w:rPr>
          <w:rFonts w:ascii="Times New Roman" w:hAnsi="Times New Roman" w:cs="Times New Roman"/>
          <w:i/>
          <w:iCs/>
          <w:sz w:val="20"/>
          <w:szCs w:val="20"/>
        </w:rPr>
        <w:t xml:space="preserve">supra </w:t>
      </w:r>
      <w:r w:rsidRPr="007B2ECC">
        <w:rPr>
          <w:rFonts w:ascii="Times New Roman" w:hAnsi="Times New Roman" w:cs="Times New Roman"/>
          <w:sz w:val="20"/>
          <w:szCs w:val="20"/>
        </w:rPr>
        <w:t>note 15</w:t>
      </w:r>
      <w:r>
        <w:rPr>
          <w:rFonts w:ascii="Times New Roman" w:hAnsi="Times New Roman" w:cs="Times New Roman"/>
          <w:sz w:val="20"/>
          <w:szCs w:val="20"/>
        </w:rPr>
        <w:t>4</w:t>
      </w:r>
      <w:r w:rsidRPr="007B2ECC">
        <w:rPr>
          <w:rFonts w:ascii="Times New Roman" w:hAnsi="Times New Roman" w:cs="Times New Roman"/>
          <w:sz w:val="20"/>
          <w:szCs w:val="20"/>
        </w:rPr>
        <w:t xml:space="preserve">; </w:t>
      </w:r>
      <w:r w:rsidRPr="00BC3EC8">
        <w:rPr>
          <w:rFonts w:ascii="Times New Roman" w:hAnsi="Times New Roman" w:cs="Times New Roman"/>
          <w:sz w:val="20"/>
          <w:szCs w:val="20"/>
        </w:rPr>
        <w:t xml:space="preserve">Scharf, </w:t>
      </w:r>
      <w:r w:rsidRPr="00BC3EC8">
        <w:rPr>
          <w:rFonts w:ascii="Times New Roman" w:hAnsi="Times New Roman" w:cs="Times New Roman"/>
          <w:i/>
          <w:iCs/>
          <w:sz w:val="20"/>
          <w:szCs w:val="20"/>
        </w:rPr>
        <w:t xml:space="preserve">supra </w:t>
      </w:r>
      <w:r w:rsidRPr="00BC3EC8">
        <w:rPr>
          <w:rFonts w:ascii="Times New Roman" w:hAnsi="Times New Roman" w:cs="Times New Roman"/>
          <w:sz w:val="20"/>
          <w:szCs w:val="20"/>
        </w:rPr>
        <w:t>note 15</w:t>
      </w:r>
      <w:r>
        <w:rPr>
          <w:rFonts w:ascii="Times New Roman" w:hAnsi="Times New Roman" w:cs="Times New Roman"/>
          <w:sz w:val="20"/>
          <w:szCs w:val="20"/>
        </w:rPr>
        <w:t>3</w:t>
      </w:r>
      <w:r w:rsidRPr="00BC3EC8">
        <w:rPr>
          <w:rFonts w:ascii="Times New Roman" w:hAnsi="Times New Roman" w:cs="Times New Roman"/>
          <w:sz w:val="20"/>
          <w:szCs w:val="20"/>
        </w:rPr>
        <w:t xml:space="preserve">; </w:t>
      </w:r>
      <w:proofErr w:type="spellStart"/>
      <w:r w:rsidRPr="00BC3EC8">
        <w:rPr>
          <w:rFonts w:ascii="Times New Roman" w:hAnsi="Times New Roman" w:cs="Times New Roman"/>
          <w:smallCaps/>
          <w:sz w:val="20"/>
          <w:szCs w:val="20"/>
        </w:rPr>
        <w:t>Henkin</w:t>
      </w:r>
      <w:proofErr w:type="spellEnd"/>
      <w:r w:rsidRPr="00BC3EC8">
        <w:rPr>
          <w:rFonts w:ascii="Times New Roman" w:hAnsi="Times New Roman" w:cs="Times New Roman"/>
          <w:smallCaps/>
          <w:sz w:val="20"/>
          <w:szCs w:val="20"/>
        </w:rPr>
        <w:t xml:space="preserve"> </w:t>
      </w:r>
      <w:r w:rsidRPr="00BC3EC8">
        <w:rPr>
          <w:rFonts w:ascii="Times New Roman" w:hAnsi="Times New Roman" w:cs="Times New Roman"/>
          <w:sz w:val="20"/>
          <w:szCs w:val="20"/>
        </w:rPr>
        <w:t xml:space="preserve">et. </w:t>
      </w:r>
      <w:proofErr w:type="gramStart"/>
      <w:r w:rsidRPr="00BC3EC8">
        <w:rPr>
          <w:rFonts w:ascii="Times New Roman" w:hAnsi="Times New Roman" w:cs="Times New Roman"/>
          <w:sz w:val="20"/>
          <w:szCs w:val="20"/>
        </w:rPr>
        <w:t>al</w:t>
      </w:r>
      <w:proofErr w:type="gramEnd"/>
      <w:r w:rsidRPr="00BC3EC8">
        <w:rPr>
          <w:rFonts w:ascii="Times New Roman" w:hAnsi="Times New Roman" w:cs="Times New Roman"/>
          <w:sz w:val="20"/>
          <w:szCs w:val="20"/>
        </w:rPr>
        <w:t xml:space="preserve">. </w:t>
      </w:r>
      <w:r w:rsidRPr="00BC3EC8">
        <w:rPr>
          <w:rFonts w:ascii="Times New Roman" w:hAnsi="Times New Roman" w:cs="Times New Roman"/>
          <w:i/>
          <w:iCs/>
          <w:sz w:val="20"/>
          <w:szCs w:val="20"/>
        </w:rPr>
        <w:t>supra</w:t>
      </w:r>
      <w:r w:rsidRPr="00BC3EC8">
        <w:rPr>
          <w:rFonts w:ascii="Times New Roman" w:hAnsi="Times New Roman" w:cs="Times New Roman"/>
          <w:sz w:val="20"/>
          <w:szCs w:val="20"/>
        </w:rPr>
        <w:t xml:space="preserve"> note 1</w:t>
      </w:r>
      <w:r>
        <w:rPr>
          <w:rFonts w:ascii="Times New Roman" w:hAnsi="Times New Roman" w:cs="Times New Roman"/>
          <w:sz w:val="20"/>
          <w:szCs w:val="20"/>
        </w:rPr>
        <w:t>58</w:t>
      </w:r>
      <w:r w:rsidR="00796244">
        <w:rPr>
          <w:rFonts w:ascii="Times New Roman" w:hAnsi="Times New Roman" w:cs="Times New Roman"/>
          <w:sz w:val="20"/>
          <w:szCs w:val="20"/>
        </w:rPr>
        <w:t>.</w:t>
      </w:r>
    </w:p>
  </w:footnote>
  <w:footnote w:id="162">
    <w:p w14:paraId="25C7A13C" w14:textId="5FD2B8D3" w:rsidR="00802DBC" w:rsidRPr="00BC3EC8" w:rsidRDefault="00802DBC" w:rsidP="00BC3EC8">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BC3EC8">
        <w:rPr>
          <w:rFonts w:asciiTheme="majorBidi" w:hAnsiTheme="majorBidi" w:cstheme="majorBidi"/>
          <w:sz w:val="20"/>
          <w:szCs w:val="20"/>
        </w:rPr>
        <w:t xml:space="preserve">Eric </w:t>
      </w:r>
      <w:proofErr w:type="spellStart"/>
      <w:r w:rsidRPr="00BC3EC8">
        <w:rPr>
          <w:rFonts w:asciiTheme="majorBidi" w:hAnsiTheme="majorBidi" w:cstheme="majorBidi"/>
          <w:sz w:val="20"/>
          <w:szCs w:val="20"/>
        </w:rPr>
        <w:t>Brahm</w:t>
      </w:r>
      <w:proofErr w:type="spellEnd"/>
      <w:r w:rsidRPr="00BC3EC8">
        <w:rPr>
          <w:rFonts w:asciiTheme="majorBidi" w:hAnsiTheme="majorBidi" w:cstheme="majorBidi"/>
          <w:sz w:val="20"/>
          <w:szCs w:val="20"/>
        </w:rPr>
        <w:t xml:space="preserve">, </w:t>
      </w:r>
      <w:r w:rsidRPr="00BC3EC8">
        <w:rPr>
          <w:rFonts w:asciiTheme="majorBidi" w:hAnsiTheme="majorBidi" w:cstheme="majorBidi"/>
          <w:i/>
          <w:iCs/>
          <w:sz w:val="20"/>
          <w:szCs w:val="20"/>
        </w:rPr>
        <w:t>What is a Truth Commission and Why Does it Matter</w:t>
      </w:r>
      <w:proofErr w:type="gramStart"/>
      <w:r w:rsidRPr="00BC3EC8">
        <w:rPr>
          <w:rFonts w:asciiTheme="majorBidi" w:hAnsiTheme="majorBidi" w:cstheme="majorBidi"/>
          <w:i/>
          <w:iCs/>
          <w:sz w:val="20"/>
          <w:szCs w:val="20"/>
        </w:rPr>
        <w:t>?</w:t>
      </w:r>
      <w:r w:rsidRPr="00BC3EC8">
        <w:rPr>
          <w:rFonts w:asciiTheme="majorBidi" w:hAnsiTheme="majorBidi" w:cstheme="majorBidi"/>
          <w:sz w:val="20"/>
          <w:szCs w:val="20"/>
        </w:rPr>
        <w:t>,</w:t>
      </w:r>
      <w:proofErr w:type="gramEnd"/>
      <w:r w:rsidRPr="00BC3EC8">
        <w:rPr>
          <w:rFonts w:asciiTheme="majorBidi" w:hAnsiTheme="majorBidi" w:cstheme="majorBidi"/>
          <w:sz w:val="20"/>
          <w:szCs w:val="20"/>
        </w:rPr>
        <w:t xml:space="preserve"> </w:t>
      </w:r>
      <w:r w:rsidRPr="00BC3EC8">
        <w:rPr>
          <w:rFonts w:asciiTheme="majorBidi" w:hAnsiTheme="majorBidi" w:cstheme="majorBidi"/>
          <w:smallCaps/>
          <w:sz w:val="20"/>
          <w:szCs w:val="20"/>
        </w:rPr>
        <w:t xml:space="preserve">3 Peace </w:t>
      </w:r>
      <w:r>
        <w:rPr>
          <w:rFonts w:asciiTheme="majorBidi" w:hAnsiTheme="majorBidi" w:cstheme="majorBidi"/>
          <w:smallCaps/>
          <w:sz w:val="20"/>
          <w:szCs w:val="20"/>
        </w:rPr>
        <w:t>&amp;</w:t>
      </w:r>
      <w:r w:rsidRPr="00BC3EC8">
        <w:rPr>
          <w:rFonts w:asciiTheme="majorBidi" w:hAnsiTheme="majorBidi" w:cstheme="majorBidi"/>
          <w:smallCaps/>
          <w:sz w:val="20"/>
          <w:szCs w:val="20"/>
        </w:rPr>
        <w:t xml:space="preserve"> Conflict Rev. </w:t>
      </w:r>
      <w:r>
        <w:rPr>
          <w:rFonts w:asciiTheme="majorBidi" w:hAnsiTheme="majorBidi" w:cstheme="majorBidi"/>
          <w:smallCaps/>
          <w:sz w:val="20"/>
          <w:szCs w:val="20"/>
        </w:rPr>
        <w:t xml:space="preserve">1, </w:t>
      </w:r>
      <w:r w:rsidRPr="00BC3EC8">
        <w:rPr>
          <w:rFonts w:asciiTheme="majorBidi" w:hAnsiTheme="majorBidi" w:cstheme="majorBidi"/>
          <w:sz w:val="20"/>
          <w:szCs w:val="20"/>
        </w:rPr>
        <w:t>1</w:t>
      </w:r>
      <w:r>
        <w:rPr>
          <w:rFonts w:asciiTheme="majorBidi" w:hAnsiTheme="majorBidi" w:cstheme="majorBidi"/>
          <w:sz w:val="20"/>
          <w:szCs w:val="20"/>
        </w:rPr>
        <w:t>–</w:t>
      </w:r>
      <w:r w:rsidRPr="00BC3EC8">
        <w:rPr>
          <w:rFonts w:asciiTheme="majorBidi" w:hAnsiTheme="majorBidi" w:cstheme="majorBidi"/>
          <w:sz w:val="20"/>
          <w:szCs w:val="20"/>
        </w:rPr>
        <w:t>14 (2009).</w:t>
      </w:r>
    </w:p>
  </w:footnote>
  <w:footnote w:id="163">
    <w:p w14:paraId="395BC7B8" w14:textId="7D430C06" w:rsidR="00802DBC" w:rsidRPr="00BC3EC8" w:rsidRDefault="00802DBC" w:rsidP="00BC3EC8">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BC3EC8">
        <w:rPr>
          <w:rFonts w:ascii="Times New Roman" w:hAnsi="Times New Roman" w:cs="Times New Roman"/>
          <w:i/>
          <w:sz w:val="20"/>
          <w:szCs w:val="20"/>
        </w:rPr>
        <w:t>See generally</w:t>
      </w:r>
      <w:r w:rsidRPr="00BC3EC8">
        <w:rPr>
          <w:rFonts w:ascii="Times New Roman" w:hAnsi="Times New Roman" w:cs="Times New Roman"/>
          <w:sz w:val="20"/>
          <w:szCs w:val="20"/>
        </w:rPr>
        <w:t xml:space="preserve"> </w:t>
      </w:r>
      <w:r w:rsidRPr="00EF740A">
        <w:rPr>
          <w:rFonts w:ascii="Times New Roman" w:hAnsi="Times New Roman" w:cs="Times New Roman"/>
          <w:i/>
          <w:iCs/>
          <w:sz w:val="20"/>
          <w:szCs w:val="20"/>
        </w:rPr>
        <w:t>id</w:t>
      </w:r>
      <w:r w:rsidRPr="00CA2399">
        <w:rPr>
          <w:rFonts w:ascii="Times New Roman" w:hAnsi="Times New Roman" w:cs="Times New Roman"/>
          <w:sz w:val="20"/>
          <w:szCs w:val="20"/>
        </w:rPr>
        <w:t>.</w:t>
      </w:r>
    </w:p>
  </w:footnote>
  <w:footnote w:id="164">
    <w:p w14:paraId="6ABCCC9B" w14:textId="57E358D5" w:rsidR="00802DBC" w:rsidRPr="00EF740A" w:rsidRDefault="00802DBC" w:rsidP="00BC3EC8">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BC3EC8">
        <w:rPr>
          <w:rFonts w:ascii="Times New Roman" w:hAnsi="Times New Roman" w:cs="Times New Roman"/>
          <w:sz w:val="20"/>
          <w:szCs w:val="20"/>
        </w:rPr>
        <w:t>Rep. of the S.G., at 8</w:t>
      </w:r>
      <w:r>
        <w:rPr>
          <w:rFonts w:ascii="Times New Roman" w:hAnsi="Times New Roman" w:cs="Times New Roman"/>
          <w:sz w:val="20"/>
          <w:szCs w:val="20"/>
        </w:rPr>
        <w:t>,</w:t>
      </w:r>
      <w:r w:rsidRPr="00BC3EC8">
        <w:rPr>
          <w:rFonts w:ascii="Times New Roman" w:hAnsi="Times New Roman" w:cs="Times New Roman"/>
          <w:sz w:val="20"/>
          <w:szCs w:val="20"/>
        </w:rPr>
        <w:t xml:space="preserve"> </w:t>
      </w:r>
      <w:r>
        <w:rPr>
          <w:rFonts w:ascii="Times New Roman" w:hAnsi="Times New Roman" w:cs="Times New Roman"/>
          <w:sz w:val="20"/>
          <w:szCs w:val="20"/>
        </w:rPr>
        <w:t>U.N.</w:t>
      </w:r>
      <w:r w:rsidRPr="00BC3EC8">
        <w:rPr>
          <w:rFonts w:ascii="Times New Roman" w:hAnsi="Times New Roman" w:cs="Times New Roman"/>
          <w:sz w:val="20"/>
          <w:szCs w:val="20"/>
        </w:rPr>
        <w:t xml:space="preserve"> Doc S/2004/616</w:t>
      </w:r>
      <w:r w:rsidR="00796244">
        <w:rPr>
          <w:rFonts w:ascii="Times New Roman" w:hAnsi="Times New Roman" w:cs="Times New Roman"/>
          <w:sz w:val="20"/>
          <w:szCs w:val="20"/>
        </w:rPr>
        <w:t xml:space="preserve"> (2004</w:t>
      </w:r>
      <w:r>
        <w:rPr>
          <w:rFonts w:ascii="Times New Roman" w:hAnsi="Times New Roman" w:cs="Times New Roman"/>
          <w:sz w:val="20"/>
          <w:szCs w:val="20"/>
        </w:rPr>
        <w:t>)</w:t>
      </w:r>
      <w:r w:rsidRPr="00BC3EC8">
        <w:rPr>
          <w:rFonts w:ascii="Times New Roman" w:hAnsi="Times New Roman" w:cs="Times New Roman"/>
          <w:sz w:val="20"/>
          <w:szCs w:val="20"/>
        </w:rPr>
        <w:t>.</w:t>
      </w:r>
    </w:p>
  </w:footnote>
  <w:footnote w:id="165">
    <w:p w14:paraId="2EE89A9E" w14:textId="7B0EFACA" w:rsidR="00802DBC" w:rsidRPr="00BC3EC8" w:rsidRDefault="00802DBC" w:rsidP="00BC3EC8">
      <w:pPr>
        <w:pStyle w:val="FootnoteText"/>
        <w:ind w:firstLine="144"/>
        <w:jc w:val="both"/>
        <w:rPr>
          <w:rFonts w:ascii="Times New Roman" w:hAnsi="Times New Roman" w:cs="Times New Roman"/>
          <w:iCs/>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Pr>
          <w:rFonts w:ascii="Times New Roman" w:hAnsi="Times New Roman" w:cs="Times New Roman"/>
          <w:sz w:val="20"/>
          <w:szCs w:val="20"/>
        </w:rPr>
        <w:t>U.N.</w:t>
      </w:r>
      <w:r w:rsidRPr="00CA2399">
        <w:rPr>
          <w:rFonts w:ascii="Times New Roman" w:hAnsi="Times New Roman" w:cs="Times New Roman"/>
          <w:sz w:val="20"/>
          <w:szCs w:val="20"/>
        </w:rPr>
        <w:t xml:space="preserve"> Framework of Analysis, </w:t>
      </w:r>
      <w:r w:rsidRPr="00DF383F">
        <w:rPr>
          <w:rFonts w:ascii="Times New Roman" w:hAnsi="Times New Roman" w:cs="Times New Roman"/>
          <w:i/>
          <w:iCs/>
          <w:sz w:val="20"/>
          <w:szCs w:val="20"/>
        </w:rPr>
        <w:t xml:space="preserve">supra </w:t>
      </w:r>
      <w:r>
        <w:rPr>
          <w:rFonts w:ascii="Times New Roman" w:hAnsi="Times New Roman" w:cs="Times New Roman"/>
          <w:sz w:val="20"/>
          <w:szCs w:val="20"/>
        </w:rPr>
        <w:t>note 19</w:t>
      </w:r>
      <w:r w:rsidRPr="007B2ECC">
        <w:rPr>
          <w:rFonts w:ascii="Times New Roman" w:hAnsi="Times New Roman" w:cs="Times New Roman"/>
          <w:sz w:val="20"/>
          <w:szCs w:val="20"/>
        </w:rPr>
        <w:t>;</w:t>
      </w:r>
      <w:r w:rsidRPr="00BC3EC8">
        <w:rPr>
          <w:rFonts w:ascii="Times New Roman" w:hAnsi="Times New Roman" w:cs="Times New Roman"/>
          <w:sz w:val="20"/>
          <w:szCs w:val="20"/>
        </w:rPr>
        <w:t xml:space="preserve"> Stanton, </w:t>
      </w:r>
      <w:r w:rsidRPr="00BC3EC8">
        <w:rPr>
          <w:rFonts w:ascii="Times New Roman" w:hAnsi="Times New Roman" w:cs="Times New Roman"/>
          <w:i/>
          <w:sz w:val="20"/>
          <w:szCs w:val="20"/>
        </w:rPr>
        <w:t xml:space="preserve">supra </w:t>
      </w:r>
      <w:r>
        <w:rPr>
          <w:rFonts w:ascii="Times New Roman" w:hAnsi="Times New Roman" w:cs="Times New Roman"/>
          <w:iCs/>
          <w:sz w:val="20"/>
          <w:szCs w:val="20"/>
        </w:rPr>
        <w:t>note 18</w:t>
      </w:r>
      <w:r w:rsidRPr="00BC3EC8">
        <w:rPr>
          <w:rFonts w:ascii="Times New Roman" w:hAnsi="Times New Roman" w:cs="Times New Roman"/>
          <w:iCs/>
          <w:sz w:val="20"/>
          <w:szCs w:val="20"/>
        </w:rPr>
        <w:t>.</w:t>
      </w:r>
    </w:p>
  </w:footnote>
  <w:footnote w:id="166">
    <w:p w14:paraId="36038E4A" w14:textId="6BA0783F" w:rsidR="00802DBC" w:rsidRPr="00102CE6" w:rsidRDefault="00802DBC" w:rsidP="00ED2D76">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CA2399">
        <w:rPr>
          <w:rFonts w:ascii="Times New Roman" w:hAnsi="Times New Roman" w:cs="Times New Roman"/>
          <w:sz w:val="20"/>
          <w:szCs w:val="20"/>
        </w:rPr>
        <w:t xml:space="preserve">ICISS, </w:t>
      </w:r>
      <w:r w:rsidRPr="00DF383F">
        <w:rPr>
          <w:rFonts w:ascii="Times New Roman" w:hAnsi="Times New Roman" w:cs="Times New Roman"/>
          <w:i/>
          <w:iCs/>
          <w:sz w:val="20"/>
          <w:szCs w:val="20"/>
        </w:rPr>
        <w:t xml:space="preserve">supra </w:t>
      </w:r>
      <w:r w:rsidRPr="007B2ECC">
        <w:rPr>
          <w:rFonts w:ascii="Times New Roman" w:hAnsi="Times New Roman" w:cs="Times New Roman"/>
          <w:sz w:val="20"/>
          <w:szCs w:val="20"/>
        </w:rPr>
        <w:t>note</w:t>
      </w:r>
      <w:r w:rsidRPr="00102CE6">
        <w:rPr>
          <w:rFonts w:ascii="Times New Roman" w:hAnsi="Times New Roman" w:cs="Times New Roman"/>
          <w:sz w:val="20"/>
          <w:szCs w:val="20"/>
        </w:rPr>
        <w:t xml:space="preserve"> 4, at 23.</w:t>
      </w:r>
    </w:p>
  </w:footnote>
  <w:footnote w:id="167">
    <w:p w14:paraId="61772796" w14:textId="6CDAC80E" w:rsidR="00802DBC" w:rsidRPr="00DF383F" w:rsidRDefault="00802DBC" w:rsidP="00B03937">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CA2399">
        <w:rPr>
          <w:rFonts w:ascii="Times New Roman" w:hAnsi="Times New Roman" w:cs="Times New Roman"/>
          <w:i/>
          <w:sz w:val="20"/>
          <w:szCs w:val="20"/>
        </w:rPr>
        <w:t>Id</w:t>
      </w:r>
      <w:r w:rsidRPr="00DF383F">
        <w:rPr>
          <w:rFonts w:ascii="Times New Roman" w:hAnsi="Times New Roman" w:cs="Times New Roman"/>
          <w:sz w:val="20"/>
          <w:szCs w:val="20"/>
        </w:rPr>
        <w:t>.</w:t>
      </w:r>
    </w:p>
  </w:footnote>
  <w:footnote w:id="168">
    <w:p w14:paraId="275FCCD5" w14:textId="2B0D3941" w:rsidR="00802DBC" w:rsidRPr="00DF383F" w:rsidRDefault="00802DBC" w:rsidP="001200B8">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CA2399">
        <w:rPr>
          <w:rFonts w:ascii="Times New Roman" w:hAnsi="Times New Roman" w:cs="Times New Roman"/>
          <w:i/>
          <w:sz w:val="20"/>
          <w:szCs w:val="20"/>
        </w:rPr>
        <w:t>Id</w:t>
      </w:r>
      <w:r w:rsidRPr="00DF383F">
        <w:rPr>
          <w:rFonts w:ascii="Times New Roman" w:hAnsi="Times New Roman" w:cs="Times New Roman"/>
          <w:sz w:val="20"/>
          <w:szCs w:val="20"/>
        </w:rPr>
        <w:t xml:space="preserve">. </w:t>
      </w:r>
    </w:p>
  </w:footnote>
  <w:footnote w:id="169">
    <w:p w14:paraId="1FD23F6B" w14:textId="6E4A8AA3" w:rsidR="00802DBC" w:rsidRPr="007B2ECC" w:rsidRDefault="00802DBC" w:rsidP="00111B01">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Pr>
          <w:rFonts w:ascii="Times New Roman" w:hAnsi="Times New Roman" w:cs="Times New Roman"/>
          <w:smallCaps/>
          <w:sz w:val="20"/>
          <w:szCs w:val="20"/>
        </w:rPr>
        <w:t xml:space="preserve">Deborah </w:t>
      </w:r>
      <w:proofErr w:type="spellStart"/>
      <w:r>
        <w:rPr>
          <w:rFonts w:ascii="Times New Roman" w:hAnsi="Times New Roman" w:cs="Times New Roman"/>
          <w:smallCaps/>
          <w:sz w:val="20"/>
          <w:szCs w:val="20"/>
        </w:rPr>
        <w:t>Ma</w:t>
      </w:r>
      <w:r w:rsidRPr="00CA2399">
        <w:rPr>
          <w:rFonts w:ascii="Times New Roman" w:hAnsi="Times New Roman" w:cs="Times New Roman"/>
          <w:smallCaps/>
          <w:sz w:val="20"/>
          <w:szCs w:val="20"/>
        </w:rPr>
        <w:t>yersen</w:t>
      </w:r>
      <w:proofErr w:type="spellEnd"/>
      <w:r w:rsidRPr="00CA2399">
        <w:rPr>
          <w:rFonts w:ascii="Times New Roman" w:hAnsi="Times New Roman" w:cs="Times New Roman"/>
          <w:smallCaps/>
          <w:sz w:val="20"/>
          <w:szCs w:val="20"/>
        </w:rPr>
        <w:t>, Current and Potential Capacity for the Prevention of Genocide and Mass Atrocities Within the United Nations System, Australian Political Science Association Con</w:t>
      </w:r>
      <w:r w:rsidRPr="00DF383F">
        <w:rPr>
          <w:rFonts w:ascii="Times New Roman" w:hAnsi="Times New Roman" w:cs="Times New Roman"/>
          <w:smallCaps/>
          <w:sz w:val="20"/>
          <w:szCs w:val="20"/>
        </w:rPr>
        <w:t>ference</w:t>
      </w:r>
      <w:r>
        <w:rPr>
          <w:rFonts w:ascii="Times New Roman" w:hAnsi="Times New Roman" w:cs="Times New Roman"/>
          <w:sz w:val="20"/>
          <w:szCs w:val="20"/>
        </w:rPr>
        <w:t xml:space="preserve"> 2010: </w:t>
      </w:r>
      <w:r w:rsidRPr="0037510A">
        <w:rPr>
          <w:rFonts w:ascii="Times New Roman" w:hAnsi="Times New Roman" w:cs="Times New Roman"/>
          <w:smallCaps/>
          <w:sz w:val="20"/>
          <w:szCs w:val="20"/>
        </w:rPr>
        <w:t>Connected Globe: Conflicting Worlds.</w:t>
      </w:r>
      <w:r w:rsidRPr="007B2ECC">
        <w:rPr>
          <w:rFonts w:ascii="Times New Roman" w:hAnsi="Times New Roman" w:cs="Times New Roman"/>
          <w:sz w:val="20"/>
          <w:szCs w:val="20"/>
        </w:rPr>
        <w:t xml:space="preserve"> </w:t>
      </w:r>
    </w:p>
  </w:footnote>
  <w:footnote w:id="170">
    <w:p w14:paraId="01010C9B" w14:textId="4A075D84" w:rsidR="00802DBC" w:rsidRPr="00EF740A" w:rsidRDefault="00802DBC" w:rsidP="009C704A">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CA2399">
        <w:rPr>
          <w:rFonts w:ascii="Times New Roman" w:hAnsi="Times New Roman" w:cs="Times New Roman"/>
          <w:sz w:val="20"/>
          <w:szCs w:val="20"/>
        </w:rPr>
        <w:t xml:space="preserve">Valarie </w:t>
      </w:r>
      <w:proofErr w:type="spellStart"/>
      <w:r w:rsidRPr="00CA2399">
        <w:rPr>
          <w:rFonts w:ascii="Times New Roman" w:hAnsi="Times New Roman" w:cs="Times New Roman"/>
          <w:sz w:val="20"/>
          <w:szCs w:val="20"/>
        </w:rPr>
        <w:t>Rosoux</w:t>
      </w:r>
      <w:proofErr w:type="spellEnd"/>
      <w:r w:rsidRPr="00CA2399">
        <w:rPr>
          <w:rFonts w:ascii="Times New Roman" w:hAnsi="Times New Roman" w:cs="Times New Roman"/>
          <w:sz w:val="20"/>
          <w:szCs w:val="20"/>
        </w:rPr>
        <w:t xml:space="preserve">, </w:t>
      </w:r>
      <w:r w:rsidRPr="00DF383F">
        <w:rPr>
          <w:rFonts w:ascii="Times New Roman" w:hAnsi="Times New Roman" w:cs="Times New Roman"/>
          <w:i/>
          <w:sz w:val="20"/>
          <w:szCs w:val="20"/>
        </w:rPr>
        <w:t>Is Reconciliatio</w:t>
      </w:r>
      <w:r w:rsidRPr="007B2ECC">
        <w:rPr>
          <w:rFonts w:ascii="Times New Roman" w:hAnsi="Times New Roman" w:cs="Times New Roman"/>
          <w:i/>
          <w:sz w:val="20"/>
          <w:szCs w:val="20"/>
        </w:rPr>
        <w:t>n</w:t>
      </w:r>
      <w:r w:rsidRPr="00102CE6">
        <w:rPr>
          <w:rFonts w:ascii="Times New Roman" w:hAnsi="Times New Roman" w:cs="Times New Roman"/>
          <w:i/>
          <w:sz w:val="20"/>
          <w:szCs w:val="20"/>
        </w:rPr>
        <w:t xml:space="preserve"> Negotiable</w:t>
      </w:r>
      <w:proofErr w:type="gramStart"/>
      <w:r w:rsidRPr="00102CE6">
        <w:rPr>
          <w:rFonts w:ascii="Times New Roman" w:hAnsi="Times New Roman" w:cs="Times New Roman"/>
          <w:i/>
          <w:sz w:val="20"/>
          <w:szCs w:val="20"/>
        </w:rPr>
        <w:t>?</w:t>
      </w:r>
      <w:r>
        <w:rPr>
          <w:rFonts w:ascii="Times New Roman" w:hAnsi="Times New Roman" w:cs="Times New Roman"/>
          <w:sz w:val="20"/>
          <w:szCs w:val="20"/>
        </w:rPr>
        <w:t>,</w:t>
      </w:r>
      <w:proofErr w:type="gramEnd"/>
      <w:r w:rsidRPr="00102CE6">
        <w:rPr>
          <w:rFonts w:ascii="Times New Roman" w:hAnsi="Times New Roman" w:cs="Times New Roman"/>
          <w:i/>
          <w:sz w:val="20"/>
          <w:szCs w:val="20"/>
        </w:rPr>
        <w:t xml:space="preserve"> </w:t>
      </w:r>
      <w:r w:rsidRPr="00BC3EC8">
        <w:rPr>
          <w:rFonts w:ascii="Times New Roman" w:hAnsi="Times New Roman" w:cs="Times New Roman"/>
          <w:sz w:val="20"/>
          <w:szCs w:val="20"/>
        </w:rPr>
        <w:t xml:space="preserve">18 </w:t>
      </w:r>
      <w:r w:rsidRPr="00BC3EC8">
        <w:rPr>
          <w:rFonts w:ascii="Times New Roman" w:hAnsi="Times New Roman" w:cs="Times New Roman"/>
          <w:smallCaps/>
          <w:sz w:val="20"/>
          <w:szCs w:val="20"/>
        </w:rPr>
        <w:t>Int'l Neg.</w:t>
      </w:r>
      <w:r w:rsidRPr="00BC3EC8">
        <w:rPr>
          <w:rFonts w:ascii="Times New Roman" w:hAnsi="Times New Roman" w:cs="Times New Roman"/>
          <w:sz w:val="20"/>
          <w:szCs w:val="20"/>
        </w:rPr>
        <w:t xml:space="preserve"> 471 (2013). </w:t>
      </w:r>
    </w:p>
  </w:footnote>
  <w:footnote w:id="171">
    <w:p w14:paraId="204D59D2" w14:textId="20053A44" w:rsidR="00802DBC" w:rsidRPr="00BC3EC8" w:rsidRDefault="00802DBC">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BC3EC8">
        <w:rPr>
          <w:rFonts w:ascii="Times New Roman" w:hAnsi="Times New Roman" w:cs="Times New Roman"/>
          <w:i/>
          <w:sz w:val="20"/>
          <w:szCs w:val="20"/>
        </w:rPr>
        <w:t>Id</w:t>
      </w:r>
      <w:r w:rsidRPr="00BC3EC8">
        <w:rPr>
          <w:rFonts w:ascii="Times New Roman" w:hAnsi="Times New Roman" w:cs="Times New Roman"/>
          <w:sz w:val="20"/>
          <w:szCs w:val="20"/>
        </w:rPr>
        <w:t>.</w:t>
      </w:r>
    </w:p>
  </w:footnote>
  <w:footnote w:id="172">
    <w:p w14:paraId="47F57311" w14:textId="2AAA68EF" w:rsidR="00802DBC" w:rsidRPr="000D1F28" w:rsidRDefault="00802DBC" w:rsidP="00B956CA">
      <w:pPr>
        <w:pStyle w:val="FootnoteText"/>
        <w:ind w:firstLine="144"/>
        <w:rPr>
          <w:rFonts w:asciiTheme="majorBidi" w:hAnsiTheme="majorBidi" w:cstheme="majorBidi"/>
          <w:sz w:val="20"/>
          <w:szCs w:val="20"/>
        </w:rPr>
      </w:pPr>
      <w:r w:rsidRPr="000D1F28">
        <w:rPr>
          <w:rStyle w:val="FootnoteReference"/>
          <w:rFonts w:asciiTheme="majorBidi" w:hAnsiTheme="majorBidi" w:cstheme="majorBidi"/>
          <w:sz w:val="20"/>
          <w:szCs w:val="20"/>
        </w:rPr>
        <w:footnoteRef/>
      </w:r>
      <w:r w:rsidRPr="000D1F28">
        <w:rPr>
          <w:rFonts w:asciiTheme="majorBidi" w:hAnsiTheme="majorBidi" w:cstheme="majorBidi"/>
          <w:sz w:val="20"/>
          <w:szCs w:val="20"/>
        </w:rPr>
        <w:t xml:space="preserve"> </w:t>
      </w:r>
      <w:r>
        <w:rPr>
          <w:rFonts w:asciiTheme="majorBidi" w:hAnsiTheme="majorBidi" w:cstheme="majorBidi"/>
          <w:sz w:val="20"/>
          <w:szCs w:val="20"/>
        </w:rPr>
        <w:t xml:space="preserve">This Section discusses four specific conflicts. It would be impossible to capture the complexity and nuance present in each of these situations in just a few paragraphs. None of the following subsections, taken either in whole or in part should be interpreted as fully representing the situations that they describe. However, given the importance of developing context-specific conflict resolution mechanisms, this Note does provide a bit of context solely for the purpose of furthering the understanding the mechanisms used. </w:t>
      </w:r>
    </w:p>
  </w:footnote>
  <w:footnote w:id="173">
    <w:p w14:paraId="4AB9D241" w14:textId="47D3CBE7" w:rsidR="00802DBC" w:rsidRPr="00DF383F" w:rsidRDefault="00802DBC" w:rsidP="00796244">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CA2399">
        <w:rPr>
          <w:rFonts w:ascii="Times New Roman" w:hAnsi="Times New Roman" w:cs="Times New Roman"/>
          <w:sz w:val="20"/>
          <w:szCs w:val="20"/>
        </w:rPr>
        <w:t xml:space="preserve">When attempting to conduct research on truth commissions in other states (such as Argentina), the majority of the scholarly articles suggested </w:t>
      </w:r>
      <w:r w:rsidRPr="00DF383F">
        <w:rPr>
          <w:rFonts w:ascii="Times New Roman" w:hAnsi="Times New Roman" w:cs="Times New Roman"/>
          <w:sz w:val="20"/>
          <w:szCs w:val="20"/>
        </w:rPr>
        <w:t xml:space="preserve">by the database discuss the South African TRC. </w:t>
      </w:r>
    </w:p>
  </w:footnote>
  <w:footnote w:id="174">
    <w:p w14:paraId="4B88A2BA" w14:textId="61D00F6D" w:rsidR="00802DBC" w:rsidRPr="00445C4C" w:rsidRDefault="00802DBC" w:rsidP="00E45534">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445C4C">
        <w:rPr>
          <w:rFonts w:ascii="Times New Roman" w:hAnsi="Times New Roman" w:cs="Times New Roman"/>
          <w:sz w:val="20"/>
          <w:szCs w:val="20"/>
        </w:rPr>
        <w:t xml:space="preserve">Kader </w:t>
      </w:r>
      <w:proofErr w:type="spellStart"/>
      <w:r w:rsidRPr="00445C4C">
        <w:rPr>
          <w:rFonts w:ascii="Times New Roman" w:hAnsi="Times New Roman" w:cs="Times New Roman"/>
          <w:sz w:val="20"/>
          <w:szCs w:val="20"/>
        </w:rPr>
        <w:t>Asmal</w:t>
      </w:r>
      <w:proofErr w:type="spellEnd"/>
      <w:r w:rsidRPr="00445C4C">
        <w:rPr>
          <w:rFonts w:ascii="Times New Roman" w:hAnsi="Times New Roman" w:cs="Times New Roman"/>
          <w:sz w:val="20"/>
          <w:szCs w:val="20"/>
        </w:rPr>
        <w:t xml:space="preserve">, </w:t>
      </w:r>
      <w:r w:rsidRPr="00445C4C">
        <w:rPr>
          <w:rFonts w:ascii="Times New Roman" w:hAnsi="Times New Roman" w:cs="Times New Roman"/>
          <w:i/>
          <w:sz w:val="20"/>
          <w:szCs w:val="20"/>
        </w:rPr>
        <w:t>Truth, Reconciliation and Justice: The South African Experience in Perspective</w:t>
      </w:r>
      <w:r w:rsidRPr="00445C4C">
        <w:rPr>
          <w:rFonts w:ascii="Times New Roman" w:hAnsi="Times New Roman" w:cs="Times New Roman"/>
          <w:sz w:val="20"/>
          <w:szCs w:val="20"/>
        </w:rPr>
        <w:t xml:space="preserve">, 63 </w:t>
      </w:r>
      <w:r w:rsidRPr="00445C4C">
        <w:rPr>
          <w:rFonts w:ascii="Times New Roman" w:hAnsi="Times New Roman" w:cs="Times New Roman"/>
          <w:smallCaps/>
          <w:sz w:val="20"/>
          <w:szCs w:val="20"/>
        </w:rPr>
        <w:t xml:space="preserve">Mod. L. R., </w:t>
      </w:r>
      <w:r w:rsidR="00796244">
        <w:rPr>
          <w:rFonts w:ascii="Times New Roman" w:hAnsi="Times New Roman" w:cs="Times New Roman"/>
          <w:sz w:val="20"/>
          <w:szCs w:val="20"/>
        </w:rPr>
        <w:t>1 (2000); Andr</w:t>
      </w:r>
      <w:r w:rsidR="00E05123">
        <w:rPr>
          <w:rFonts w:ascii="Times New Roman" w:hAnsi="Times New Roman" w:cs="Times New Roman"/>
          <w:sz w:val="20"/>
          <w:szCs w:val="20"/>
        </w:rPr>
        <w:t>é</w:t>
      </w:r>
      <w:r w:rsidRPr="00445C4C">
        <w:rPr>
          <w:rFonts w:ascii="Times New Roman" w:hAnsi="Times New Roman" w:cs="Times New Roman"/>
          <w:sz w:val="20"/>
          <w:szCs w:val="20"/>
        </w:rPr>
        <w:t xml:space="preserve"> du </w:t>
      </w:r>
      <w:proofErr w:type="spellStart"/>
      <w:r w:rsidRPr="00445C4C">
        <w:rPr>
          <w:rFonts w:ascii="Times New Roman" w:hAnsi="Times New Roman" w:cs="Times New Roman"/>
          <w:sz w:val="20"/>
          <w:szCs w:val="20"/>
        </w:rPr>
        <w:t>Toit</w:t>
      </w:r>
      <w:proofErr w:type="spellEnd"/>
      <w:r w:rsidRPr="00445C4C">
        <w:rPr>
          <w:rFonts w:ascii="Times New Roman" w:hAnsi="Times New Roman" w:cs="Times New Roman"/>
          <w:sz w:val="20"/>
          <w:szCs w:val="20"/>
        </w:rPr>
        <w:t xml:space="preserve">, </w:t>
      </w:r>
      <w:r w:rsidRPr="00445C4C">
        <w:rPr>
          <w:rFonts w:ascii="Times New Roman" w:hAnsi="Times New Roman" w:cs="Times New Roman"/>
          <w:i/>
          <w:sz w:val="20"/>
          <w:szCs w:val="20"/>
        </w:rPr>
        <w:t xml:space="preserve">Experiments with Truth and Justice in South Africa: </w:t>
      </w:r>
      <w:proofErr w:type="spellStart"/>
      <w:r w:rsidRPr="00445C4C">
        <w:rPr>
          <w:rFonts w:ascii="Times New Roman" w:hAnsi="Times New Roman" w:cs="Times New Roman"/>
          <w:i/>
          <w:sz w:val="20"/>
          <w:szCs w:val="20"/>
        </w:rPr>
        <w:t>Stockenström</w:t>
      </w:r>
      <w:proofErr w:type="spellEnd"/>
      <w:r w:rsidRPr="00445C4C">
        <w:rPr>
          <w:rFonts w:ascii="Times New Roman" w:hAnsi="Times New Roman" w:cs="Times New Roman"/>
          <w:i/>
          <w:sz w:val="20"/>
          <w:szCs w:val="20"/>
        </w:rPr>
        <w:t>, Gandhi and the TRC</w:t>
      </w:r>
      <w:r w:rsidRPr="00445C4C">
        <w:rPr>
          <w:rFonts w:ascii="Times New Roman" w:hAnsi="Times New Roman" w:cs="Times New Roman"/>
          <w:sz w:val="20"/>
          <w:szCs w:val="20"/>
        </w:rPr>
        <w:t xml:space="preserve">, 31 J. </w:t>
      </w:r>
      <w:r w:rsidRPr="00445C4C">
        <w:rPr>
          <w:rFonts w:ascii="Times New Roman" w:hAnsi="Times New Roman" w:cs="Times New Roman"/>
          <w:smallCaps/>
          <w:sz w:val="20"/>
          <w:szCs w:val="20"/>
        </w:rPr>
        <w:t xml:space="preserve">South Afr. Stud. </w:t>
      </w:r>
      <w:r w:rsidRPr="00445C4C">
        <w:rPr>
          <w:rFonts w:ascii="Times New Roman" w:hAnsi="Times New Roman" w:cs="Times New Roman"/>
          <w:sz w:val="20"/>
          <w:szCs w:val="20"/>
        </w:rPr>
        <w:t xml:space="preserve">419 (2005). </w:t>
      </w:r>
      <w:r>
        <w:rPr>
          <w:rFonts w:ascii="Times New Roman" w:hAnsi="Times New Roman" w:cs="Times New Roman"/>
          <w:sz w:val="20"/>
          <w:szCs w:val="20"/>
        </w:rPr>
        <w:t>The Rome Statute categorizes a</w:t>
      </w:r>
      <w:r w:rsidRPr="00445C4C">
        <w:rPr>
          <w:rFonts w:ascii="Times New Roman" w:hAnsi="Times New Roman" w:cs="Times New Roman"/>
          <w:sz w:val="20"/>
          <w:szCs w:val="20"/>
        </w:rPr>
        <w:t xml:space="preserve">partheid </w:t>
      </w:r>
      <w:r>
        <w:rPr>
          <w:rFonts w:ascii="Times New Roman" w:hAnsi="Times New Roman" w:cs="Times New Roman"/>
          <w:sz w:val="20"/>
          <w:szCs w:val="20"/>
        </w:rPr>
        <w:t>as</w:t>
      </w:r>
      <w:r w:rsidRPr="00445C4C">
        <w:rPr>
          <w:rFonts w:ascii="Times New Roman" w:hAnsi="Times New Roman" w:cs="Times New Roman"/>
          <w:sz w:val="20"/>
          <w:szCs w:val="20"/>
        </w:rPr>
        <w:t xml:space="preserve"> a crime against humanity</w:t>
      </w:r>
      <w:r>
        <w:rPr>
          <w:rFonts w:ascii="Times New Roman" w:hAnsi="Times New Roman" w:cs="Times New Roman"/>
          <w:sz w:val="20"/>
          <w:szCs w:val="20"/>
        </w:rPr>
        <w:t xml:space="preserve">. </w:t>
      </w:r>
      <w:r w:rsidRPr="00445C4C">
        <w:rPr>
          <w:rFonts w:ascii="Times New Roman" w:hAnsi="Times New Roman" w:cs="Times New Roman"/>
          <w:i/>
          <w:sz w:val="20"/>
          <w:szCs w:val="20"/>
        </w:rPr>
        <w:t>See</w:t>
      </w:r>
      <w:r w:rsidRPr="00445C4C">
        <w:rPr>
          <w:rFonts w:ascii="Times New Roman" w:hAnsi="Times New Roman" w:cs="Times New Roman"/>
          <w:sz w:val="20"/>
          <w:szCs w:val="20"/>
        </w:rPr>
        <w:t xml:space="preserve"> </w:t>
      </w:r>
      <w:r w:rsidRPr="00EF740A">
        <w:rPr>
          <w:rFonts w:ascii="Times New Roman" w:hAnsi="Times New Roman" w:cs="Times New Roman"/>
          <w:sz w:val="20"/>
          <w:szCs w:val="20"/>
        </w:rPr>
        <w:t xml:space="preserve">Rome Statute, </w:t>
      </w:r>
      <w:r w:rsidRPr="00CA2399">
        <w:rPr>
          <w:rFonts w:ascii="Times New Roman" w:hAnsi="Times New Roman" w:cs="Times New Roman"/>
          <w:i/>
          <w:iCs/>
          <w:sz w:val="20"/>
          <w:szCs w:val="20"/>
        </w:rPr>
        <w:t xml:space="preserve">supra </w:t>
      </w:r>
      <w:r>
        <w:rPr>
          <w:rFonts w:ascii="Times New Roman" w:hAnsi="Times New Roman" w:cs="Times New Roman"/>
          <w:sz w:val="20"/>
          <w:szCs w:val="20"/>
        </w:rPr>
        <w:t>note 3</w:t>
      </w:r>
      <w:r w:rsidRPr="00DF383F">
        <w:rPr>
          <w:rFonts w:ascii="Times New Roman" w:hAnsi="Times New Roman" w:cs="Times New Roman"/>
          <w:sz w:val="20"/>
          <w:szCs w:val="20"/>
        </w:rPr>
        <w:t xml:space="preserve">, at 7(1)(j). </w:t>
      </w:r>
    </w:p>
  </w:footnote>
  <w:footnote w:id="175">
    <w:p w14:paraId="579B45BC" w14:textId="42397E48" w:rsidR="00802DBC" w:rsidRPr="00EF740A" w:rsidRDefault="00802DBC" w:rsidP="00E45534">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445C4C">
        <w:rPr>
          <w:rFonts w:ascii="Times New Roman" w:hAnsi="Times New Roman" w:cs="Times New Roman"/>
          <w:sz w:val="20"/>
          <w:szCs w:val="20"/>
        </w:rPr>
        <w:t xml:space="preserve">Allen, </w:t>
      </w:r>
      <w:r w:rsidRPr="00445C4C">
        <w:rPr>
          <w:rFonts w:ascii="Times New Roman" w:hAnsi="Times New Roman" w:cs="Times New Roman"/>
          <w:i/>
          <w:iCs/>
          <w:sz w:val="20"/>
          <w:szCs w:val="20"/>
        </w:rPr>
        <w:t xml:space="preserve">supra </w:t>
      </w:r>
      <w:r>
        <w:rPr>
          <w:rFonts w:ascii="Times New Roman" w:hAnsi="Times New Roman" w:cs="Times New Roman"/>
          <w:sz w:val="20"/>
          <w:szCs w:val="20"/>
        </w:rPr>
        <w:t>note 158</w:t>
      </w:r>
      <w:r w:rsidRPr="00445C4C">
        <w:rPr>
          <w:rFonts w:ascii="Times New Roman" w:hAnsi="Times New Roman" w:cs="Times New Roman"/>
          <w:sz w:val="20"/>
          <w:szCs w:val="20"/>
        </w:rPr>
        <w:t xml:space="preserve">. </w:t>
      </w:r>
    </w:p>
  </w:footnote>
  <w:footnote w:id="176">
    <w:p w14:paraId="0E52E9AB" w14:textId="66540516" w:rsidR="00802DBC" w:rsidRPr="00CA2399" w:rsidRDefault="00802DBC" w:rsidP="00445C4C">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CA2399">
        <w:rPr>
          <w:rFonts w:asciiTheme="majorBidi" w:hAnsiTheme="majorBidi" w:cstheme="majorBidi"/>
          <w:sz w:val="20"/>
          <w:szCs w:val="20"/>
        </w:rPr>
        <w:t xml:space="preserve">For example, arbitration is frequently utilized in business disputes, and mediation is often used in divorce proceedings. </w:t>
      </w:r>
    </w:p>
  </w:footnote>
  <w:footnote w:id="177">
    <w:p w14:paraId="76AA1327" w14:textId="01E94998" w:rsidR="00802DBC" w:rsidRPr="00102CE6" w:rsidRDefault="00802DBC" w:rsidP="00BF6D4F">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CA2399">
        <w:rPr>
          <w:rFonts w:ascii="Times New Roman" w:hAnsi="Times New Roman" w:cs="Times New Roman"/>
          <w:i/>
          <w:sz w:val="20"/>
          <w:szCs w:val="20"/>
        </w:rPr>
        <w:t>See</w:t>
      </w:r>
      <w:r w:rsidRPr="00DF383F">
        <w:rPr>
          <w:rFonts w:ascii="Times New Roman" w:hAnsi="Times New Roman" w:cs="Times New Roman"/>
          <w:sz w:val="20"/>
          <w:szCs w:val="20"/>
        </w:rPr>
        <w:t xml:space="preserve"> </w:t>
      </w:r>
      <w:proofErr w:type="spellStart"/>
      <w:r w:rsidRPr="007B2ECC">
        <w:rPr>
          <w:rFonts w:ascii="Times New Roman" w:hAnsi="Times New Roman" w:cs="Times New Roman"/>
          <w:smallCaps/>
          <w:sz w:val="20"/>
          <w:szCs w:val="20"/>
        </w:rPr>
        <w:t>Abdullahi</w:t>
      </w:r>
      <w:proofErr w:type="spellEnd"/>
      <w:r w:rsidRPr="007B2ECC">
        <w:rPr>
          <w:rFonts w:ascii="Times New Roman" w:hAnsi="Times New Roman" w:cs="Times New Roman"/>
          <w:smallCaps/>
          <w:sz w:val="20"/>
          <w:szCs w:val="20"/>
        </w:rPr>
        <w:t xml:space="preserve"> </w:t>
      </w:r>
      <w:proofErr w:type="spellStart"/>
      <w:r w:rsidRPr="007B2ECC">
        <w:rPr>
          <w:rFonts w:ascii="Times New Roman" w:hAnsi="Times New Roman" w:cs="Times New Roman"/>
          <w:smallCaps/>
          <w:sz w:val="20"/>
          <w:szCs w:val="20"/>
        </w:rPr>
        <w:t>Boru</w:t>
      </w:r>
      <w:proofErr w:type="spellEnd"/>
      <w:r w:rsidRPr="007B2ECC">
        <w:rPr>
          <w:rFonts w:ascii="Times New Roman" w:hAnsi="Times New Roman" w:cs="Times New Roman"/>
          <w:smallCaps/>
          <w:sz w:val="20"/>
          <w:szCs w:val="20"/>
        </w:rPr>
        <w:t xml:space="preserve"> </w:t>
      </w:r>
      <w:proofErr w:type="spellStart"/>
      <w:r w:rsidRPr="007B2ECC">
        <w:rPr>
          <w:rFonts w:ascii="Times New Roman" w:hAnsi="Times New Roman" w:cs="Times New Roman"/>
          <w:smallCaps/>
          <w:sz w:val="20"/>
          <w:szCs w:val="20"/>
        </w:rPr>
        <w:t>Halakhe</w:t>
      </w:r>
      <w:proofErr w:type="spellEnd"/>
      <w:r w:rsidRPr="007B2ECC">
        <w:rPr>
          <w:rFonts w:ascii="Times New Roman" w:hAnsi="Times New Roman" w:cs="Times New Roman"/>
          <w:smallCaps/>
          <w:sz w:val="20"/>
          <w:szCs w:val="20"/>
        </w:rPr>
        <w:t xml:space="preserve">, </w:t>
      </w:r>
      <w:r>
        <w:rPr>
          <w:rFonts w:ascii="Times New Roman" w:hAnsi="Times New Roman" w:cs="Times New Roman"/>
          <w:smallCaps/>
          <w:sz w:val="20"/>
          <w:szCs w:val="20"/>
        </w:rPr>
        <w:t xml:space="preserve">Glob. Ctr. For Resp. to Prot., </w:t>
      </w:r>
      <w:r w:rsidRPr="007B2ECC">
        <w:rPr>
          <w:rFonts w:ascii="Times New Roman" w:hAnsi="Times New Roman" w:cs="Times New Roman"/>
          <w:smallCaps/>
          <w:sz w:val="20"/>
          <w:szCs w:val="20"/>
        </w:rPr>
        <w:t>R2P in Practice: Ethnic Violence, Elections a</w:t>
      </w:r>
      <w:r w:rsidR="00891895">
        <w:rPr>
          <w:rFonts w:ascii="Times New Roman" w:hAnsi="Times New Roman" w:cs="Times New Roman"/>
          <w:smallCaps/>
          <w:sz w:val="20"/>
          <w:szCs w:val="20"/>
        </w:rPr>
        <w:t xml:space="preserve">nd Atrocity Prevention in Kenya </w:t>
      </w:r>
      <w:r w:rsidRPr="00102CE6">
        <w:rPr>
          <w:rFonts w:ascii="Times New Roman" w:hAnsi="Times New Roman" w:cs="Times New Roman"/>
          <w:smallCaps/>
          <w:sz w:val="20"/>
          <w:szCs w:val="20"/>
        </w:rPr>
        <w:t xml:space="preserve"> 9 (2013).</w:t>
      </w:r>
    </w:p>
  </w:footnote>
  <w:footnote w:id="178">
    <w:p w14:paraId="4E96822E" w14:textId="1D0DD9C0" w:rsidR="00802DBC" w:rsidRPr="00EF740A" w:rsidRDefault="00802DBC" w:rsidP="0029427A">
      <w:pPr>
        <w:pStyle w:val="FootnoteText"/>
        <w:ind w:firstLine="144"/>
        <w:jc w:val="both"/>
        <w:rPr>
          <w:rFonts w:ascii="Times New Roman" w:hAnsi="Times New Roman" w:cs="Times New Roman"/>
          <w:i/>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proofErr w:type="spellStart"/>
      <w:r w:rsidRPr="00CA2399">
        <w:rPr>
          <w:rFonts w:ascii="Times New Roman" w:hAnsi="Times New Roman" w:cs="Times New Roman"/>
          <w:sz w:val="20"/>
          <w:szCs w:val="20"/>
        </w:rPr>
        <w:t>Wameyo</w:t>
      </w:r>
      <w:proofErr w:type="spellEnd"/>
      <w:r w:rsidRPr="00CA2399">
        <w:rPr>
          <w:rFonts w:ascii="Times New Roman" w:hAnsi="Times New Roman" w:cs="Times New Roman"/>
          <w:sz w:val="20"/>
          <w:szCs w:val="20"/>
        </w:rPr>
        <w:t xml:space="preserve">, </w:t>
      </w:r>
      <w:r w:rsidRPr="00DF383F">
        <w:rPr>
          <w:rFonts w:ascii="Times New Roman" w:hAnsi="Times New Roman" w:cs="Times New Roman"/>
          <w:i/>
          <w:iCs/>
          <w:sz w:val="20"/>
          <w:szCs w:val="20"/>
        </w:rPr>
        <w:t xml:space="preserve">supra </w:t>
      </w:r>
      <w:r w:rsidRPr="007B2ECC">
        <w:rPr>
          <w:rFonts w:ascii="Times New Roman" w:hAnsi="Times New Roman" w:cs="Times New Roman"/>
          <w:sz w:val="20"/>
          <w:szCs w:val="20"/>
        </w:rPr>
        <w:t xml:space="preserve">note 74, at </w:t>
      </w:r>
      <w:r w:rsidRPr="00B03937">
        <w:rPr>
          <w:rFonts w:ascii="Times New Roman" w:hAnsi="Times New Roman" w:cs="Times New Roman"/>
          <w:sz w:val="20"/>
          <w:szCs w:val="20"/>
        </w:rPr>
        <w:t>414</w:t>
      </w:r>
      <w:r>
        <w:rPr>
          <w:rFonts w:ascii="Times New Roman" w:hAnsi="Times New Roman" w:cs="Times New Roman"/>
          <w:sz w:val="20"/>
          <w:szCs w:val="20"/>
        </w:rPr>
        <w:t>–15.</w:t>
      </w:r>
    </w:p>
  </w:footnote>
  <w:footnote w:id="179">
    <w:p w14:paraId="209CA343" w14:textId="1E51B3AF" w:rsidR="00802DBC" w:rsidRPr="00EF740A" w:rsidRDefault="00802DBC" w:rsidP="00352A74">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B03937">
        <w:rPr>
          <w:rFonts w:ascii="Times New Roman" w:hAnsi="Times New Roman" w:cs="Times New Roman"/>
          <w:i/>
          <w:sz w:val="20"/>
          <w:szCs w:val="20"/>
        </w:rPr>
        <w:t>Id</w:t>
      </w:r>
      <w:r w:rsidRPr="00B03937">
        <w:rPr>
          <w:rFonts w:ascii="Times New Roman" w:hAnsi="Times New Roman" w:cs="Times New Roman"/>
          <w:sz w:val="20"/>
          <w:szCs w:val="20"/>
        </w:rPr>
        <w:t>.</w:t>
      </w:r>
    </w:p>
  </w:footnote>
  <w:footnote w:id="180">
    <w:p w14:paraId="3BD276D3" w14:textId="38001EF4" w:rsidR="00802DBC" w:rsidRPr="00EF740A" w:rsidRDefault="00802DBC" w:rsidP="00352A74">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B03937">
        <w:rPr>
          <w:rFonts w:ascii="Times New Roman" w:hAnsi="Times New Roman" w:cs="Times New Roman"/>
          <w:i/>
          <w:sz w:val="20"/>
          <w:szCs w:val="20"/>
        </w:rPr>
        <w:t>Id</w:t>
      </w:r>
      <w:r w:rsidRPr="00B03937">
        <w:rPr>
          <w:rFonts w:ascii="Times New Roman" w:hAnsi="Times New Roman" w:cs="Times New Roman"/>
          <w:sz w:val="20"/>
          <w:szCs w:val="20"/>
        </w:rPr>
        <w:t xml:space="preserve">. </w:t>
      </w:r>
    </w:p>
  </w:footnote>
  <w:footnote w:id="181">
    <w:p w14:paraId="373FDB4D" w14:textId="37676DD9" w:rsidR="00802DBC" w:rsidRPr="00EF740A" w:rsidRDefault="00802DBC" w:rsidP="00352A74">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B03937">
        <w:rPr>
          <w:rFonts w:ascii="Times New Roman" w:hAnsi="Times New Roman" w:cs="Times New Roman"/>
          <w:i/>
          <w:sz w:val="20"/>
          <w:szCs w:val="20"/>
        </w:rPr>
        <w:t>Id</w:t>
      </w:r>
      <w:r>
        <w:rPr>
          <w:rFonts w:ascii="Times New Roman" w:hAnsi="Times New Roman" w:cs="Times New Roman"/>
          <w:i/>
          <w:sz w:val="20"/>
          <w:szCs w:val="20"/>
        </w:rPr>
        <w:t>.</w:t>
      </w:r>
      <w:r w:rsidRPr="00B03937">
        <w:rPr>
          <w:rFonts w:ascii="Times New Roman" w:hAnsi="Times New Roman" w:cs="Times New Roman"/>
          <w:sz w:val="20"/>
          <w:szCs w:val="20"/>
        </w:rPr>
        <w:t xml:space="preserve"> at 416</w:t>
      </w:r>
      <w:r>
        <w:rPr>
          <w:rFonts w:ascii="Times New Roman" w:hAnsi="Times New Roman" w:cs="Times New Roman"/>
          <w:sz w:val="20"/>
          <w:szCs w:val="20"/>
        </w:rPr>
        <w:t>–17.</w:t>
      </w:r>
      <w:r w:rsidRPr="00B03937">
        <w:rPr>
          <w:rFonts w:ascii="Times New Roman" w:hAnsi="Times New Roman" w:cs="Times New Roman"/>
          <w:sz w:val="20"/>
          <w:szCs w:val="20"/>
        </w:rPr>
        <w:t xml:space="preserve"> </w:t>
      </w:r>
    </w:p>
  </w:footnote>
  <w:footnote w:id="182">
    <w:p w14:paraId="711811AE" w14:textId="67C0B5B8" w:rsidR="00802DBC" w:rsidRPr="00EF740A" w:rsidRDefault="00802DBC" w:rsidP="00352A74">
      <w:pPr>
        <w:pStyle w:val="FootnoteText"/>
        <w:ind w:firstLine="144"/>
        <w:jc w:val="both"/>
      </w:pPr>
      <w:r w:rsidRPr="00EF740A">
        <w:rPr>
          <w:rStyle w:val="FootnoteReference"/>
          <w:rFonts w:ascii="Times New Roman" w:hAnsi="Times New Roman" w:cs="Times New Roman"/>
          <w:sz w:val="20"/>
          <w:szCs w:val="20"/>
        </w:rPr>
        <w:footnoteRef/>
      </w:r>
      <w:r w:rsidRPr="00EF740A">
        <w:t xml:space="preserve"> </w:t>
      </w:r>
      <w:r w:rsidRPr="00B03937">
        <w:rPr>
          <w:rFonts w:ascii="Times New Roman" w:hAnsi="Times New Roman" w:cs="Times New Roman"/>
          <w:i/>
          <w:sz w:val="20"/>
          <w:szCs w:val="20"/>
        </w:rPr>
        <w:t>Id.</w:t>
      </w:r>
    </w:p>
  </w:footnote>
  <w:footnote w:id="183">
    <w:p w14:paraId="7100BBA9" w14:textId="15EDE22B" w:rsidR="00802DBC" w:rsidRPr="00EF740A" w:rsidRDefault="00802DBC" w:rsidP="00352A74">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B03937">
        <w:rPr>
          <w:rFonts w:ascii="Times New Roman" w:hAnsi="Times New Roman" w:cs="Times New Roman"/>
          <w:i/>
          <w:sz w:val="20"/>
          <w:szCs w:val="20"/>
        </w:rPr>
        <w:t>Id</w:t>
      </w:r>
      <w:r w:rsidRPr="00B03937">
        <w:rPr>
          <w:rFonts w:ascii="Times New Roman" w:hAnsi="Times New Roman" w:cs="Times New Roman"/>
          <w:sz w:val="20"/>
          <w:szCs w:val="20"/>
        </w:rPr>
        <w:t xml:space="preserve"> at 417</w:t>
      </w:r>
      <w:r>
        <w:rPr>
          <w:rFonts w:ascii="Times New Roman" w:hAnsi="Times New Roman" w:cs="Times New Roman"/>
          <w:sz w:val="20"/>
          <w:szCs w:val="20"/>
        </w:rPr>
        <w:t>–18.</w:t>
      </w:r>
      <w:r w:rsidRPr="00B03937">
        <w:rPr>
          <w:rFonts w:ascii="Times New Roman" w:hAnsi="Times New Roman" w:cs="Times New Roman"/>
          <w:sz w:val="20"/>
          <w:szCs w:val="20"/>
        </w:rPr>
        <w:t xml:space="preserve"> </w:t>
      </w:r>
    </w:p>
  </w:footnote>
  <w:footnote w:id="184">
    <w:p w14:paraId="346B4392" w14:textId="4F0F513C" w:rsidR="00802DBC" w:rsidRPr="007B2ECC" w:rsidRDefault="00802DBC" w:rsidP="0029427A">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proofErr w:type="spellStart"/>
      <w:r w:rsidRPr="00CA2399">
        <w:rPr>
          <w:rFonts w:ascii="Times New Roman" w:hAnsi="Times New Roman" w:cs="Times New Roman"/>
          <w:sz w:val="20"/>
          <w:szCs w:val="20"/>
        </w:rPr>
        <w:t>Wameyo</w:t>
      </w:r>
      <w:proofErr w:type="spellEnd"/>
      <w:r w:rsidRPr="00CA2399">
        <w:rPr>
          <w:rFonts w:ascii="Times New Roman" w:hAnsi="Times New Roman" w:cs="Times New Roman"/>
          <w:sz w:val="20"/>
          <w:szCs w:val="20"/>
        </w:rPr>
        <w:t xml:space="preserve">, </w:t>
      </w:r>
      <w:r w:rsidRPr="00DF383F">
        <w:rPr>
          <w:rFonts w:ascii="Times New Roman" w:hAnsi="Times New Roman" w:cs="Times New Roman"/>
          <w:i/>
          <w:iCs/>
          <w:sz w:val="20"/>
          <w:szCs w:val="20"/>
        </w:rPr>
        <w:t xml:space="preserve">supra </w:t>
      </w:r>
      <w:r>
        <w:rPr>
          <w:rFonts w:ascii="Times New Roman" w:hAnsi="Times New Roman" w:cs="Times New Roman"/>
          <w:sz w:val="20"/>
          <w:szCs w:val="20"/>
        </w:rPr>
        <w:t>note 73</w:t>
      </w:r>
      <w:r w:rsidRPr="007B2ECC">
        <w:rPr>
          <w:rFonts w:ascii="Times New Roman" w:hAnsi="Times New Roman" w:cs="Times New Roman"/>
          <w:sz w:val="20"/>
          <w:szCs w:val="20"/>
        </w:rPr>
        <w:t>.</w:t>
      </w:r>
    </w:p>
  </w:footnote>
  <w:footnote w:id="185">
    <w:p w14:paraId="7382536B" w14:textId="7B1DBAF9" w:rsidR="00802DBC" w:rsidRPr="00DF383F" w:rsidRDefault="00802DBC" w:rsidP="0029427A">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B03937">
        <w:rPr>
          <w:rFonts w:ascii="Times New Roman" w:hAnsi="Times New Roman" w:cs="Times New Roman"/>
          <w:i/>
          <w:sz w:val="20"/>
          <w:szCs w:val="20"/>
        </w:rPr>
        <w:t xml:space="preserve">See </w:t>
      </w:r>
      <w:r w:rsidRPr="00B03937">
        <w:rPr>
          <w:rFonts w:ascii="Times New Roman" w:hAnsi="Times New Roman" w:cs="Times New Roman"/>
          <w:i/>
          <w:iCs/>
          <w:sz w:val="20"/>
          <w:szCs w:val="20"/>
        </w:rPr>
        <w:t>generally</w:t>
      </w:r>
      <w:r w:rsidRPr="00B03937">
        <w:rPr>
          <w:rFonts w:ascii="Times New Roman" w:hAnsi="Times New Roman" w:cs="Times New Roman"/>
          <w:sz w:val="20"/>
          <w:szCs w:val="20"/>
        </w:rPr>
        <w:t xml:space="preserve"> </w:t>
      </w:r>
      <w:proofErr w:type="spellStart"/>
      <w:r w:rsidRPr="00EF740A">
        <w:rPr>
          <w:rFonts w:ascii="Times New Roman" w:hAnsi="Times New Roman" w:cs="Times New Roman"/>
          <w:smallCaps/>
          <w:sz w:val="20"/>
          <w:szCs w:val="20"/>
        </w:rPr>
        <w:t>Halakhe</w:t>
      </w:r>
      <w:proofErr w:type="spellEnd"/>
      <w:r>
        <w:rPr>
          <w:rFonts w:ascii="Times New Roman" w:hAnsi="Times New Roman" w:cs="Times New Roman"/>
          <w:smallCaps/>
          <w:sz w:val="20"/>
          <w:szCs w:val="20"/>
        </w:rPr>
        <w:t>,</w:t>
      </w:r>
      <w:r w:rsidRPr="00CA2399">
        <w:rPr>
          <w:rFonts w:ascii="Times New Roman" w:hAnsi="Times New Roman" w:cs="Times New Roman"/>
          <w:smallCaps/>
          <w:sz w:val="20"/>
          <w:szCs w:val="20"/>
        </w:rPr>
        <w:t xml:space="preserve"> </w:t>
      </w:r>
      <w:r w:rsidRPr="00DF383F">
        <w:rPr>
          <w:rFonts w:ascii="Times New Roman" w:hAnsi="Times New Roman" w:cs="Times New Roman"/>
          <w:i/>
          <w:iCs/>
          <w:sz w:val="20"/>
          <w:szCs w:val="20"/>
        </w:rPr>
        <w:t>supra</w:t>
      </w:r>
      <w:r w:rsidRPr="007B2ECC">
        <w:rPr>
          <w:rFonts w:ascii="Times New Roman" w:hAnsi="Times New Roman" w:cs="Times New Roman"/>
          <w:sz w:val="20"/>
          <w:szCs w:val="20"/>
        </w:rPr>
        <w:t xml:space="preserve"> note 175</w:t>
      </w:r>
      <w:r w:rsidRPr="00B03937">
        <w:rPr>
          <w:rFonts w:ascii="Times New Roman" w:hAnsi="Times New Roman" w:cs="Times New Roman"/>
          <w:sz w:val="20"/>
          <w:szCs w:val="20"/>
        </w:rPr>
        <w:t xml:space="preserve">; </w:t>
      </w:r>
      <w:proofErr w:type="spellStart"/>
      <w:r w:rsidRPr="00EF740A">
        <w:rPr>
          <w:rFonts w:ascii="Times New Roman" w:hAnsi="Times New Roman" w:cs="Times New Roman"/>
          <w:sz w:val="20"/>
          <w:szCs w:val="20"/>
        </w:rPr>
        <w:t>Wameyo</w:t>
      </w:r>
      <w:proofErr w:type="spellEnd"/>
      <w:r w:rsidRPr="00EF740A">
        <w:rPr>
          <w:rFonts w:ascii="Times New Roman" w:hAnsi="Times New Roman" w:cs="Times New Roman"/>
          <w:sz w:val="20"/>
          <w:szCs w:val="20"/>
        </w:rPr>
        <w:t xml:space="preserve">, </w:t>
      </w:r>
      <w:r w:rsidRPr="00CA2399">
        <w:rPr>
          <w:rFonts w:ascii="Times New Roman" w:hAnsi="Times New Roman" w:cs="Times New Roman"/>
          <w:i/>
          <w:iCs/>
          <w:sz w:val="20"/>
          <w:szCs w:val="20"/>
        </w:rPr>
        <w:t xml:space="preserve">supra </w:t>
      </w:r>
      <w:r>
        <w:rPr>
          <w:rFonts w:ascii="Times New Roman" w:hAnsi="Times New Roman" w:cs="Times New Roman"/>
          <w:sz w:val="20"/>
          <w:szCs w:val="20"/>
        </w:rPr>
        <w:t>note 73</w:t>
      </w:r>
      <w:r w:rsidRPr="00DF383F">
        <w:rPr>
          <w:rFonts w:ascii="Times New Roman" w:hAnsi="Times New Roman" w:cs="Times New Roman"/>
          <w:sz w:val="20"/>
          <w:szCs w:val="20"/>
        </w:rPr>
        <w:t>.</w:t>
      </w:r>
    </w:p>
  </w:footnote>
  <w:footnote w:id="186">
    <w:p w14:paraId="46DFE1D4" w14:textId="657972EE" w:rsidR="00802DBC" w:rsidRPr="00EF740A" w:rsidRDefault="00802DBC" w:rsidP="0029427A">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proofErr w:type="spellStart"/>
      <w:r w:rsidRPr="00CA2399">
        <w:rPr>
          <w:rFonts w:ascii="Times New Roman" w:hAnsi="Times New Roman" w:cs="Times New Roman"/>
          <w:sz w:val="20"/>
          <w:szCs w:val="20"/>
        </w:rPr>
        <w:t>Wameyo</w:t>
      </w:r>
      <w:proofErr w:type="spellEnd"/>
      <w:r w:rsidRPr="00CA2399">
        <w:rPr>
          <w:rFonts w:ascii="Times New Roman" w:hAnsi="Times New Roman" w:cs="Times New Roman"/>
          <w:sz w:val="20"/>
          <w:szCs w:val="20"/>
        </w:rPr>
        <w:t xml:space="preserve">, </w:t>
      </w:r>
      <w:r w:rsidRPr="00DF383F">
        <w:rPr>
          <w:rFonts w:ascii="Times New Roman" w:hAnsi="Times New Roman" w:cs="Times New Roman"/>
          <w:i/>
          <w:iCs/>
          <w:sz w:val="20"/>
          <w:szCs w:val="20"/>
        </w:rPr>
        <w:t xml:space="preserve">supra </w:t>
      </w:r>
      <w:r>
        <w:rPr>
          <w:rFonts w:ascii="Times New Roman" w:hAnsi="Times New Roman" w:cs="Times New Roman"/>
          <w:sz w:val="20"/>
          <w:szCs w:val="20"/>
        </w:rPr>
        <w:t>note 73</w:t>
      </w:r>
      <w:r w:rsidRPr="007B2ECC">
        <w:rPr>
          <w:rFonts w:ascii="Times New Roman" w:hAnsi="Times New Roman" w:cs="Times New Roman"/>
          <w:sz w:val="20"/>
          <w:szCs w:val="20"/>
        </w:rPr>
        <w:t xml:space="preserve">, </w:t>
      </w:r>
      <w:r w:rsidRPr="00B03937">
        <w:rPr>
          <w:rFonts w:ascii="Times New Roman" w:hAnsi="Times New Roman" w:cs="Times New Roman"/>
          <w:sz w:val="20"/>
          <w:szCs w:val="20"/>
        </w:rPr>
        <w:t xml:space="preserve">at 420. </w:t>
      </w:r>
    </w:p>
  </w:footnote>
  <w:footnote w:id="187">
    <w:p w14:paraId="4F5C8C90" w14:textId="375F1024" w:rsidR="00802DBC" w:rsidRPr="00EF740A" w:rsidRDefault="00802DBC" w:rsidP="00352A74">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B03937">
        <w:rPr>
          <w:rFonts w:ascii="Times New Roman" w:hAnsi="Times New Roman" w:cs="Times New Roman"/>
          <w:i/>
          <w:sz w:val="20"/>
          <w:szCs w:val="20"/>
        </w:rPr>
        <w:t>Id</w:t>
      </w:r>
      <w:r w:rsidRPr="00B03937">
        <w:rPr>
          <w:rFonts w:ascii="Times New Roman" w:hAnsi="Times New Roman" w:cs="Times New Roman"/>
          <w:sz w:val="20"/>
          <w:szCs w:val="20"/>
        </w:rPr>
        <w:t>.</w:t>
      </w:r>
    </w:p>
  </w:footnote>
  <w:footnote w:id="188">
    <w:p w14:paraId="5AFA99E8" w14:textId="0F345862" w:rsidR="00802DBC" w:rsidRPr="003E1EC1" w:rsidRDefault="00802DBC" w:rsidP="003E1EC1">
      <w:pPr>
        <w:pStyle w:val="FootnoteText"/>
        <w:ind w:firstLine="144"/>
        <w:rPr>
          <w:sz w:val="20"/>
          <w:szCs w:val="20"/>
        </w:rPr>
      </w:pPr>
      <w:r w:rsidRPr="003E1EC1">
        <w:rPr>
          <w:rStyle w:val="FootnoteReference"/>
          <w:sz w:val="20"/>
          <w:szCs w:val="20"/>
        </w:rPr>
        <w:footnoteRef/>
      </w:r>
      <w:r w:rsidRPr="003E1EC1">
        <w:rPr>
          <w:sz w:val="20"/>
          <w:szCs w:val="20"/>
        </w:rPr>
        <w:t xml:space="preserve"> </w:t>
      </w:r>
      <w:proofErr w:type="spellStart"/>
      <w:r w:rsidRPr="00EF740A">
        <w:rPr>
          <w:rFonts w:ascii="Times New Roman" w:hAnsi="Times New Roman" w:cs="Times New Roman"/>
          <w:smallCaps/>
          <w:sz w:val="20"/>
          <w:szCs w:val="20"/>
        </w:rPr>
        <w:t>Halakhe</w:t>
      </w:r>
      <w:proofErr w:type="spellEnd"/>
      <w:r>
        <w:rPr>
          <w:rFonts w:ascii="Times New Roman" w:hAnsi="Times New Roman" w:cs="Times New Roman"/>
          <w:smallCaps/>
          <w:sz w:val="20"/>
          <w:szCs w:val="20"/>
        </w:rPr>
        <w:t>,</w:t>
      </w:r>
      <w:r w:rsidRPr="00CA2399">
        <w:rPr>
          <w:rFonts w:ascii="Times New Roman" w:hAnsi="Times New Roman" w:cs="Times New Roman"/>
          <w:smallCaps/>
          <w:sz w:val="20"/>
          <w:szCs w:val="20"/>
        </w:rPr>
        <w:t xml:space="preserve"> </w:t>
      </w:r>
      <w:r w:rsidRPr="00DF383F">
        <w:rPr>
          <w:rFonts w:ascii="Times New Roman" w:hAnsi="Times New Roman" w:cs="Times New Roman"/>
          <w:i/>
          <w:iCs/>
          <w:sz w:val="20"/>
          <w:szCs w:val="20"/>
        </w:rPr>
        <w:t>supra</w:t>
      </w:r>
      <w:r w:rsidRPr="007B2ECC">
        <w:rPr>
          <w:rFonts w:ascii="Times New Roman" w:hAnsi="Times New Roman" w:cs="Times New Roman"/>
          <w:sz w:val="20"/>
          <w:szCs w:val="20"/>
        </w:rPr>
        <w:t xml:space="preserve"> note 17</w:t>
      </w:r>
      <w:r>
        <w:rPr>
          <w:rFonts w:ascii="Times New Roman" w:hAnsi="Times New Roman" w:cs="Times New Roman"/>
          <w:sz w:val="20"/>
          <w:szCs w:val="20"/>
        </w:rPr>
        <w:t>6.</w:t>
      </w:r>
    </w:p>
  </w:footnote>
  <w:footnote w:id="189">
    <w:p w14:paraId="3801EA3F" w14:textId="61DD7029" w:rsidR="00802DBC" w:rsidRPr="003E1EC1" w:rsidRDefault="00802DBC" w:rsidP="003E1EC1">
      <w:pPr>
        <w:pStyle w:val="FootnoteText"/>
        <w:ind w:firstLine="144"/>
        <w:rPr>
          <w:sz w:val="20"/>
          <w:szCs w:val="20"/>
        </w:rPr>
      </w:pPr>
      <w:r w:rsidRPr="003E1EC1">
        <w:rPr>
          <w:rStyle w:val="FootnoteReference"/>
          <w:sz w:val="20"/>
          <w:szCs w:val="20"/>
        </w:rPr>
        <w:footnoteRef/>
      </w:r>
      <w:r w:rsidRPr="003E1EC1">
        <w:rPr>
          <w:sz w:val="20"/>
          <w:szCs w:val="20"/>
        </w:rPr>
        <w:t xml:space="preserve"> </w:t>
      </w:r>
      <w:proofErr w:type="spellStart"/>
      <w:r w:rsidRPr="00EF740A">
        <w:rPr>
          <w:rFonts w:ascii="Times New Roman" w:hAnsi="Times New Roman" w:cs="Times New Roman"/>
          <w:sz w:val="20"/>
          <w:szCs w:val="20"/>
        </w:rPr>
        <w:t>Wameyo</w:t>
      </w:r>
      <w:proofErr w:type="spellEnd"/>
      <w:r w:rsidRPr="00EF740A">
        <w:rPr>
          <w:rFonts w:ascii="Times New Roman" w:hAnsi="Times New Roman" w:cs="Times New Roman"/>
          <w:sz w:val="20"/>
          <w:szCs w:val="20"/>
        </w:rPr>
        <w:t xml:space="preserve">, </w:t>
      </w:r>
      <w:r w:rsidRPr="00CA2399">
        <w:rPr>
          <w:rFonts w:ascii="Times New Roman" w:hAnsi="Times New Roman" w:cs="Times New Roman"/>
          <w:i/>
          <w:iCs/>
          <w:sz w:val="20"/>
          <w:szCs w:val="20"/>
        </w:rPr>
        <w:t xml:space="preserve">supra </w:t>
      </w:r>
      <w:r>
        <w:rPr>
          <w:rFonts w:ascii="Times New Roman" w:hAnsi="Times New Roman" w:cs="Times New Roman"/>
          <w:sz w:val="20"/>
          <w:szCs w:val="20"/>
        </w:rPr>
        <w:t>note 73, at 445.</w:t>
      </w:r>
    </w:p>
  </w:footnote>
  <w:footnote w:id="190">
    <w:p w14:paraId="66C4999E" w14:textId="6DB8F07B" w:rsidR="00802DBC" w:rsidRPr="00B03937" w:rsidRDefault="00802DBC" w:rsidP="00891895">
      <w:pPr>
        <w:pStyle w:val="FootnoteText"/>
        <w:ind w:firstLine="144"/>
        <w:jc w:val="both"/>
        <w:rPr>
          <w:rFonts w:ascii="Times New Roman" w:hAnsi="Times New Roman" w:cs="Times New Roman"/>
          <w:i/>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B03937">
        <w:rPr>
          <w:rFonts w:asciiTheme="majorBidi" w:hAnsiTheme="majorBidi" w:cstheme="majorBidi"/>
          <w:sz w:val="20"/>
          <w:szCs w:val="20"/>
        </w:rPr>
        <w:t>When Israel declared its independence in May of 1948, it was attacked by its neighbors, Jordan, Lebanon, Egypt, and Syria.</w:t>
      </w:r>
      <w:r w:rsidRPr="00EF740A">
        <w:rPr>
          <w:rFonts w:ascii="Times New Roman" w:hAnsi="Times New Roman" w:cs="Times New Roman"/>
          <w:sz w:val="20"/>
          <w:szCs w:val="20"/>
        </w:rPr>
        <w:t xml:space="preserve"> </w:t>
      </w:r>
      <w:r w:rsidRPr="00B03937">
        <w:rPr>
          <w:rFonts w:ascii="Times New Roman" w:hAnsi="Times New Roman" w:cs="Times New Roman"/>
          <w:i/>
          <w:sz w:val="20"/>
          <w:szCs w:val="20"/>
        </w:rPr>
        <w:t xml:space="preserve">See generally </w:t>
      </w:r>
      <w:r w:rsidRPr="00B03937">
        <w:rPr>
          <w:rFonts w:ascii="Times New Roman" w:hAnsi="Times New Roman" w:cs="Times New Roman"/>
          <w:sz w:val="20"/>
          <w:szCs w:val="20"/>
        </w:rPr>
        <w:t xml:space="preserve">Dean G. Pruitt, </w:t>
      </w:r>
      <w:r w:rsidRPr="00B03937">
        <w:rPr>
          <w:rFonts w:ascii="Times New Roman" w:hAnsi="Times New Roman" w:cs="Times New Roman"/>
          <w:i/>
          <w:sz w:val="20"/>
          <w:szCs w:val="20"/>
        </w:rPr>
        <w:t xml:space="preserve">Ripeness Theory and the Oslo Talks, </w:t>
      </w:r>
      <w:r w:rsidRPr="00B03937">
        <w:rPr>
          <w:rFonts w:ascii="Times New Roman" w:hAnsi="Times New Roman" w:cs="Times New Roman"/>
          <w:smallCaps/>
          <w:sz w:val="20"/>
          <w:szCs w:val="20"/>
        </w:rPr>
        <w:t xml:space="preserve">2 Int’l. </w:t>
      </w:r>
      <w:proofErr w:type="spellStart"/>
      <w:r w:rsidRPr="00B03937">
        <w:rPr>
          <w:rFonts w:ascii="Times New Roman" w:hAnsi="Times New Roman" w:cs="Times New Roman"/>
          <w:smallCaps/>
          <w:sz w:val="20"/>
          <w:szCs w:val="20"/>
        </w:rPr>
        <w:t>Negot</w:t>
      </w:r>
      <w:proofErr w:type="spellEnd"/>
      <w:r w:rsidRPr="00B03937">
        <w:rPr>
          <w:rFonts w:ascii="Times New Roman" w:hAnsi="Times New Roman" w:cs="Times New Roman"/>
          <w:smallCaps/>
          <w:sz w:val="20"/>
          <w:szCs w:val="20"/>
        </w:rPr>
        <w:t>.</w:t>
      </w:r>
      <w:r w:rsidRPr="00B03937">
        <w:rPr>
          <w:rFonts w:ascii="Times New Roman" w:hAnsi="Times New Roman" w:cs="Times New Roman"/>
          <w:sz w:val="20"/>
          <w:szCs w:val="20"/>
        </w:rPr>
        <w:t xml:space="preserve"> 237</w:t>
      </w:r>
      <w:r>
        <w:rPr>
          <w:rFonts w:ascii="Times New Roman" w:hAnsi="Times New Roman" w:cs="Times New Roman"/>
          <w:sz w:val="20"/>
          <w:szCs w:val="20"/>
        </w:rPr>
        <w:t xml:space="preserve"> (1997)</w:t>
      </w:r>
      <w:r w:rsidRPr="00B03937">
        <w:rPr>
          <w:rFonts w:ascii="Times New Roman" w:hAnsi="Times New Roman" w:cs="Times New Roman"/>
          <w:sz w:val="20"/>
          <w:szCs w:val="20"/>
        </w:rPr>
        <w:t xml:space="preserve">; Louis </w:t>
      </w:r>
      <w:proofErr w:type="spellStart"/>
      <w:r w:rsidRPr="00B03937">
        <w:rPr>
          <w:rFonts w:ascii="Times New Roman" w:hAnsi="Times New Roman" w:cs="Times New Roman"/>
          <w:sz w:val="20"/>
          <w:szCs w:val="20"/>
        </w:rPr>
        <w:t>Kriesberg</w:t>
      </w:r>
      <w:proofErr w:type="spellEnd"/>
      <w:r w:rsidRPr="00B03937">
        <w:rPr>
          <w:rFonts w:ascii="Times New Roman" w:hAnsi="Times New Roman" w:cs="Times New Roman"/>
          <w:sz w:val="20"/>
          <w:szCs w:val="20"/>
        </w:rPr>
        <w:t xml:space="preserve">, </w:t>
      </w:r>
      <w:r w:rsidRPr="00B03937">
        <w:rPr>
          <w:rFonts w:ascii="Times New Roman" w:hAnsi="Times New Roman" w:cs="Times New Roman"/>
          <w:i/>
          <w:sz w:val="20"/>
          <w:szCs w:val="20"/>
        </w:rPr>
        <w:t>Mediation and the Transformation of the Israeli-Palestinian Conflict</w:t>
      </w:r>
      <w:r>
        <w:rPr>
          <w:rFonts w:ascii="Times New Roman" w:hAnsi="Times New Roman" w:cs="Times New Roman"/>
          <w:sz w:val="20"/>
          <w:szCs w:val="20"/>
        </w:rPr>
        <w:t xml:space="preserve">, </w:t>
      </w:r>
      <w:r w:rsidRPr="00B03937">
        <w:rPr>
          <w:rFonts w:ascii="Times New Roman" w:hAnsi="Times New Roman" w:cs="Times New Roman"/>
          <w:sz w:val="20"/>
          <w:szCs w:val="20"/>
        </w:rPr>
        <w:t xml:space="preserve">38 </w:t>
      </w:r>
      <w:r w:rsidRPr="00B03937">
        <w:rPr>
          <w:rFonts w:ascii="Times New Roman" w:hAnsi="Times New Roman" w:cs="Times New Roman"/>
          <w:smallCaps/>
          <w:sz w:val="20"/>
          <w:szCs w:val="20"/>
        </w:rPr>
        <w:t>J. Peace Res.</w:t>
      </w:r>
      <w:r w:rsidRPr="00B03937">
        <w:rPr>
          <w:rFonts w:ascii="Times New Roman" w:hAnsi="Times New Roman" w:cs="Times New Roman"/>
          <w:sz w:val="20"/>
          <w:szCs w:val="20"/>
        </w:rPr>
        <w:t xml:space="preserve"> 373, 375 (2001).</w:t>
      </w:r>
    </w:p>
  </w:footnote>
  <w:footnote w:id="191">
    <w:p w14:paraId="696D9164" w14:textId="2165D980" w:rsidR="00802DBC" w:rsidRPr="00B03937" w:rsidRDefault="00802DBC" w:rsidP="00B03937">
      <w:pPr>
        <w:pStyle w:val="FootnoteText"/>
        <w:ind w:firstLine="144"/>
        <w:jc w:val="both"/>
        <w:rPr>
          <w:rFonts w:ascii="Times New Roman" w:hAnsi="Times New Roman" w:cs="Times New Roman"/>
          <w:i/>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B03937">
        <w:rPr>
          <w:rFonts w:ascii="Times New Roman" w:hAnsi="Times New Roman" w:cs="Times New Roman"/>
          <w:i/>
          <w:sz w:val="20"/>
          <w:szCs w:val="20"/>
        </w:rPr>
        <w:t>Id.</w:t>
      </w:r>
    </w:p>
  </w:footnote>
  <w:footnote w:id="192">
    <w:p w14:paraId="01FBCA25" w14:textId="2C23677B" w:rsidR="00802DBC" w:rsidRPr="00EF740A" w:rsidRDefault="00802DBC" w:rsidP="001200B8">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B03937">
        <w:rPr>
          <w:rFonts w:ascii="Times New Roman" w:hAnsi="Times New Roman" w:cs="Times New Roman"/>
          <w:sz w:val="20"/>
          <w:szCs w:val="20"/>
        </w:rPr>
        <w:t xml:space="preserve">What constitutes Israel or Palestine is defined completely differently by different people depending upon their relationship to the conflict. </w:t>
      </w:r>
      <w:r w:rsidR="00342183">
        <w:rPr>
          <w:rFonts w:ascii="Times New Roman" w:hAnsi="Times New Roman" w:cs="Times New Roman"/>
          <w:sz w:val="20"/>
          <w:szCs w:val="20"/>
        </w:rPr>
        <w:t xml:space="preserve"> </w:t>
      </w:r>
      <w:r w:rsidRPr="00B03937">
        <w:rPr>
          <w:rFonts w:ascii="Times New Roman" w:hAnsi="Times New Roman" w:cs="Times New Roman"/>
          <w:sz w:val="20"/>
          <w:szCs w:val="20"/>
        </w:rPr>
        <w:t xml:space="preserve">Tensions are exacerbated by outside actors, including the United States, Egypt, Lebanon, and others. </w:t>
      </w:r>
      <w:r>
        <w:rPr>
          <w:rFonts w:ascii="Times New Roman" w:hAnsi="Times New Roman" w:cs="Times New Roman"/>
          <w:sz w:val="20"/>
          <w:szCs w:val="20"/>
        </w:rPr>
        <w:t xml:space="preserve"> </w:t>
      </w:r>
      <w:r w:rsidRPr="00B03937">
        <w:rPr>
          <w:rFonts w:ascii="Times New Roman" w:hAnsi="Times New Roman" w:cs="Times New Roman"/>
          <w:i/>
          <w:sz w:val="20"/>
          <w:szCs w:val="20"/>
        </w:rPr>
        <w:t>See generally</w:t>
      </w:r>
      <w:r w:rsidRPr="00B03937">
        <w:rPr>
          <w:rFonts w:ascii="Times New Roman" w:hAnsi="Times New Roman" w:cs="Times New Roman"/>
          <w:sz w:val="20"/>
          <w:szCs w:val="20"/>
        </w:rPr>
        <w:t xml:space="preserve"> Pruitt, </w:t>
      </w:r>
      <w:r w:rsidRPr="00B03937">
        <w:rPr>
          <w:rFonts w:ascii="Times New Roman" w:hAnsi="Times New Roman" w:cs="Times New Roman"/>
          <w:i/>
          <w:iCs/>
          <w:sz w:val="20"/>
          <w:szCs w:val="20"/>
        </w:rPr>
        <w:t xml:space="preserve">supra </w:t>
      </w:r>
      <w:r>
        <w:rPr>
          <w:rFonts w:ascii="Times New Roman" w:hAnsi="Times New Roman" w:cs="Times New Roman"/>
          <w:sz w:val="20"/>
          <w:szCs w:val="20"/>
        </w:rPr>
        <w:t>note 189</w:t>
      </w:r>
      <w:r w:rsidRPr="00B03937">
        <w:rPr>
          <w:rFonts w:ascii="Times New Roman" w:hAnsi="Times New Roman" w:cs="Times New Roman"/>
          <w:sz w:val="20"/>
          <w:szCs w:val="20"/>
        </w:rPr>
        <w:t xml:space="preserve">; </w:t>
      </w:r>
      <w:proofErr w:type="spellStart"/>
      <w:r w:rsidRPr="00B03937">
        <w:rPr>
          <w:rFonts w:ascii="Times New Roman" w:hAnsi="Times New Roman" w:cs="Times New Roman"/>
          <w:sz w:val="20"/>
          <w:szCs w:val="20"/>
        </w:rPr>
        <w:t>Kriesberg</w:t>
      </w:r>
      <w:proofErr w:type="spellEnd"/>
      <w:r w:rsidR="00342183">
        <w:rPr>
          <w:rFonts w:ascii="Times New Roman" w:hAnsi="Times New Roman" w:cs="Times New Roman"/>
          <w:sz w:val="20"/>
          <w:szCs w:val="20"/>
        </w:rPr>
        <w:t>,</w:t>
      </w:r>
      <w:r w:rsidRPr="00B03937">
        <w:rPr>
          <w:rFonts w:ascii="Times New Roman" w:hAnsi="Times New Roman" w:cs="Times New Roman"/>
          <w:sz w:val="20"/>
          <w:szCs w:val="20"/>
        </w:rPr>
        <w:t xml:space="preserve"> </w:t>
      </w:r>
      <w:r w:rsidRPr="00B03937">
        <w:rPr>
          <w:rFonts w:ascii="Times New Roman" w:hAnsi="Times New Roman" w:cs="Times New Roman"/>
          <w:i/>
          <w:iCs/>
          <w:sz w:val="20"/>
          <w:szCs w:val="20"/>
        </w:rPr>
        <w:t xml:space="preserve">supra </w:t>
      </w:r>
      <w:r>
        <w:rPr>
          <w:rFonts w:ascii="Times New Roman" w:hAnsi="Times New Roman" w:cs="Times New Roman"/>
          <w:sz w:val="20"/>
          <w:szCs w:val="20"/>
        </w:rPr>
        <w:t>note 189</w:t>
      </w:r>
      <w:r w:rsidRPr="00B03937">
        <w:rPr>
          <w:rFonts w:ascii="Times New Roman" w:hAnsi="Times New Roman" w:cs="Times New Roman"/>
          <w:sz w:val="20"/>
          <w:szCs w:val="20"/>
        </w:rPr>
        <w:t>.</w:t>
      </w:r>
    </w:p>
  </w:footnote>
  <w:footnote w:id="193">
    <w:p w14:paraId="26B226B2" w14:textId="6323518D" w:rsidR="00802DBC" w:rsidRPr="00102CE6" w:rsidRDefault="00802DBC" w:rsidP="00342183">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CA2399">
        <w:rPr>
          <w:rFonts w:ascii="Times New Roman" w:hAnsi="Times New Roman" w:cs="Times New Roman"/>
          <w:sz w:val="20"/>
          <w:szCs w:val="20"/>
        </w:rPr>
        <w:t xml:space="preserve">Prime Minster Rabin was assassinated shortly after the Oslo Accords </w:t>
      </w:r>
      <w:r>
        <w:rPr>
          <w:rFonts w:ascii="Times New Roman" w:hAnsi="Times New Roman" w:cs="Times New Roman"/>
          <w:sz w:val="20"/>
          <w:szCs w:val="20"/>
        </w:rPr>
        <w:t>consider a quotation or ending the sentence after “Accords” or “process”</w:t>
      </w:r>
      <w:r w:rsidR="00342183">
        <w:rPr>
          <w:rFonts w:ascii="Times New Roman" w:hAnsi="Times New Roman" w:cs="Times New Roman"/>
          <w:sz w:val="20"/>
          <w:szCs w:val="20"/>
        </w:rPr>
        <w:t xml:space="preserve"> </w:t>
      </w:r>
      <w:r w:rsidRPr="00CA2399">
        <w:rPr>
          <w:rFonts w:ascii="Times New Roman" w:hAnsi="Times New Roman" w:cs="Times New Roman"/>
          <w:sz w:val="20"/>
          <w:szCs w:val="20"/>
        </w:rPr>
        <w:t>for his participati</w:t>
      </w:r>
      <w:r w:rsidRPr="00DF383F">
        <w:rPr>
          <w:rFonts w:ascii="Times New Roman" w:hAnsi="Times New Roman" w:cs="Times New Roman"/>
          <w:sz w:val="20"/>
          <w:szCs w:val="20"/>
        </w:rPr>
        <w:t>on in the negotiation process which was viewed by r</w:t>
      </w:r>
      <w:r w:rsidRPr="007B2ECC">
        <w:rPr>
          <w:rFonts w:ascii="Times New Roman" w:hAnsi="Times New Roman" w:cs="Times New Roman"/>
          <w:sz w:val="20"/>
          <w:szCs w:val="20"/>
        </w:rPr>
        <w:t>i</w:t>
      </w:r>
      <w:r w:rsidRPr="00102CE6">
        <w:rPr>
          <w:rFonts w:ascii="Times New Roman" w:hAnsi="Times New Roman" w:cs="Times New Roman"/>
          <w:sz w:val="20"/>
          <w:szCs w:val="20"/>
        </w:rPr>
        <w:t xml:space="preserve">ght—wing extremists in Israel as a betrayal. </w:t>
      </w:r>
      <w:r>
        <w:rPr>
          <w:rFonts w:ascii="Times New Roman" w:hAnsi="Times New Roman" w:cs="Times New Roman"/>
          <w:sz w:val="20"/>
          <w:szCs w:val="20"/>
        </w:rPr>
        <w:t xml:space="preserve">Dexter </w:t>
      </w:r>
      <w:proofErr w:type="spellStart"/>
      <w:r>
        <w:rPr>
          <w:rFonts w:ascii="Times New Roman" w:hAnsi="Times New Roman" w:cs="Times New Roman"/>
          <w:sz w:val="20"/>
          <w:szCs w:val="20"/>
        </w:rPr>
        <w:t>Filkins</w:t>
      </w:r>
      <w:proofErr w:type="spellEnd"/>
      <w:r>
        <w:rPr>
          <w:rFonts w:ascii="Times New Roman" w:hAnsi="Times New Roman" w:cs="Times New Roman"/>
          <w:sz w:val="20"/>
          <w:szCs w:val="20"/>
        </w:rPr>
        <w:t xml:space="preserve">, </w:t>
      </w:r>
      <w:r w:rsidRPr="00BF4A7D">
        <w:rPr>
          <w:rFonts w:ascii="Times New Roman" w:hAnsi="Times New Roman" w:cs="Times New Roman"/>
          <w:i/>
          <w:iCs/>
          <w:sz w:val="20"/>
          <w:szCs w:val="20"/>
        </w:rPr>
        <w:t>Shot in the Heart</w:t>
      </w:r>
      <w:r>
        <w:rPr>
          <w:rFonts w:ascii="Times New Roman" w:hAnsi="Times New Roman" w:cs="Times New Roman"/>
          <w:sz w:val="20"/>
          <w:szCs w:val="20"/>
        </w:rPr>
        <w:t xml:space="preserve">, </w:t>
      </w:r>
      <w:r w:rsidRPr="00BF4A7D">
        <w:rPr>
          <w:rFonts w:ascii="Times New Roman" w:hAnsi="Times New Roman" w:cs="Times New Roman"/>
          <w:smallCaps/>
          <w:sz w:val="20"/>
          <w:szCs w:val="20"/>
        </w:rPr>
        <w:t>The New Yorker</w:t>
      </w:r>
      <w:r w:rsidR="00342183">
        <w:rPr>
          <w:rFonts w:ascii="Times New Roman" w:hAnsi="Times New Roman" w:cs="Times New Roman"/>
          <w:smallCaps/>
          <w:sz w:val="20"/>
          <w:szCs w:val="20"/>
        </w:rPr>
        <w:t xml:space="preserve"> </w:t>
      </w:r>
      <w:r w:rsidR="00342183">
        <w:rPr>
          <w:rFonts w:ascii="Times New Roman" w:hAnsi="Times New Roman" w:cs="Times New Roman"/>
          <w:sz w:val="20"/>
          <w:szCs w:val="20"/>
        </w:rPr>
        <w:t xml:space="preserve">(Oct. 6, 2015) </w:t>
      </w:r>
      <w:r w:rsidRPr="00BF4A7D">
        <w:rPr>
          <w:rFonts w:ascii="Times New Roman" w:hAnsi="Times New Roman" w:cs="Times New Roman"/>
          <w:sz w:val="20"/>
          <w:szCs w:val="20"/>
        </w:rPr>
        <w:t>http://www.newyorker.com/magazine/2015/10/26/shot-in-the-heart</w:t>
      </w:r>
      <w:r w:rsidR="00342183">
        <w:rPr>
          <w:rFonts w:ascii="Times New Roman" w:hAnsi="Times New Roman" w:cs="Times New Roman"/>
          <w:sz w:val="20"/>
          <w:szCs w:val="20"/>
        </w:rPr>
        <w:t>.</w:t>
      </w:r>
      <w:r>
        <w:rPr>
          <w:rFonts w:ascii="Times New Roman" w:hAnsi="Times New Roman" w:cs="Times New Roman"/>
          <w:sz w:val="20"/>
          <w:szCs w:val="20"/>
        </w:rPr>
        <w:t xml:space="preserve"> </w:t>
      </w:r>
    </w:p>
  </w:footnote>
  <w:footnote w:id="194">
    <w:p w14:paraId="071F4536" w14:textId="477DB705" w:rsidR="00802DBC" w:rsidRPr="00B03937" w:rsidRDefault="00802DBC" w:rsidP="002D5890">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B03937">
        <w:rPr>
          <w:rFonts w:ascii="Times New Roman" w:hAnsi="Times New Roman" w:cs="Times New Roman"/>
          <w:i/>
          <w:sz w:val="20"/>
          <w:szCs w:val="20"/>
        </w:rPr>
        <w:t>See generally</w:t>
      </w:r>
      <w:r w:rsidRPr="00B03937">
        <w:rPr>
          <w:rFonts w:ascii="Times New Roman" w:hAnsi="Times New Roman" w:cs="Times New Roman"/>
          <w:sz w:val="20"/>
          <w:szCs w:val="20"/>
        </w:rPr>
        <w:t xml:space="preserve"> Pruitt, </w:t>
      </w:r>
      <w:r w:rsidRPr="00B03937">
        <w:rPr>
          <w:rFonts w:ascii="Times New Roman" w:hAnsi="Times New Roman" w:cs="Times New Roman"/>
          <w:i/>
          <w:iCs/>
          <w:sz w:val="20"/>
          <w:szCs w:val="20"/>
        </w:rPr>
        <w:t xml:space="preserve">supra </w:t>
      </w:r>
      <w:r>
        <w:rPr>
          <w:rFonts w:ascii="Times New Roman" w:hAnsi="Times New Roman" w:cs="Times New Roman"/>
          <w:sz w:val="20"/>
          <w:szCs w:val="20"/>
        </w:rPr>
        <w:t>note 189</w:t>
      </w:r>
      <w:r w:rsidRPr="00B03937">
        <w:rPr>
          <w:rFonts w:ascii="Times New Roman" w:hAnsi="Times New Roman" w:cs="Times New Roman"/>
          <w:sz w:val="20"/>
          <w:szCs w:val="20"/>
        </w:rPr>
        <w:t xml:space="preserve">; </w:t>
      </w:r>
      <w:proofErr w:type="spellStart"/>
      <w:r w:rsidRPr="00B03937">
        <w:rPr>
          <w:rFonts w:ascii="Times New Roman" w:hAnsi="Times New Roman" w:cs="Times New Roman"/>
          <w:sz w:val="20"/>
          <w:szCs w:val="20"/>
        </w:rPr>
        <w:t>Kriesberg</w:t>
      </w:r>
      <w:proofErr w:type="spellEnd"/>
      <w:r>
        <w:rPr>
          <w:rFonts w:ascii="Times New Roman" w:hAnsi="Times New Roman" w:cs="Times New Roman"/>
          <w:sz w:val="20"/>
          <w:szCs w:val="20"/>
        </w:rPr>
        <w:t>,</w:t>
      </w:r>
      <w:r w:rsidRPr="00B03937">
        <w:rPr>
          <w:rFonts w:ascii="Times New Roman" w:hAnsi="Times New Roman" w:cs="Times New Roman"/>
          <w:sz w:val="20"/>
          <w:szCs w:val="20"/>
        </w:rPr>
        <w:t xml:space="preserve"> </w:t>
      </w:r>
      <w:r w:rsidRPr="00B03937">
        <w:rPr>
          <w:rFonts w:ascii="Times New Roman" w:hAnsi="Times New Roman" w:cs="Times New Roman"/>
          <w:i/>
          <w:iCs/>
          <w:sz w:val="20"/>
          <w:szCs w:val="20"/>
        </w:rPr>
        <w:t xml:space="preserve">supra </w:t>
      </w:r>
      <w:r>
        <w:rPr>
          <w:rFonts w:ascii="Times New Roman" w:hAnsi="Times New Roman" w:cs="Times New Roman"/>
          <w:sz w:val="20"/>
          <w:szCs w:val="20"/>
        </w:rPr>
        <w:t>note 189</w:t>
      </w:r>
      <w:r w:rsidRPr="00B03937">
        <w:rPr>
          <w:rFonts w:ascii="Times New Roman" w:hAnsi="Times New Roman" w:cs="Times New Roman"/>
          <w:sz w:val="20"/>
          <w:szCs w:val="20"/>
        </w:rPr>
        <w:t>. Yasser Arafat was the first head of the Palestinian Authority, and previously served as the head of the Palestinian Liberation Organization. The second, and present, head of the Palestinian Authority is Mahmoud Abbas, who changed the title from President to Prime Minister</w:t>
      </w:r>
      <w:r>
        <w:rPr>
          <w:rFonts w:ascii="Times New Roman" w:hAnsi="Times New Roman" w:cs="Times New Roman"/>
          <w:sz w:val="20"/>
          <w:szCs w:val="20"/>
        </w:rPr>
        <w:t xml:space="preserve">. </w:t>
      </w:r>
      <w:r w:rsidRPr="002D5890">
        <w:rPr>
          <w:rFonts w:ascii="Times New Roman" w:hAnsi="Times New Roman" w:cs="Times New Roman"/>
          <w:i/>
          <w:iCs/>
          <w:sz w:val="20"/>
          <w:szCs w:val="20"/>
        </w:rPr>
        <w:t>Profile: Mahmoud Abbas</w:t>
      </w:r>
      <w:r>
        <w:rPr>
          <w:rFonts w:ascii="Times New Roman" w:hAnsi="Times New Roman" w:cs="Times New Roman"/>
          <w:sz w:val="20"/>
          <w:szCs w:val="20"/>
        </w:rPr>
        <w:t>,</w:t>
      </w:r>
      <w:r w:rsidRPr="00B03937">
        <w:rPr>
          <w:rFonts w:ascii="Times New Roman" w:hAnsi="Times New Roman" w:cs="Times New Roman"/>
          <w:sz w:val="20"/>
          <w:szCs w:val="20"/>
        </w:rPr>
        <w:t xml:space="preserve"> </w:t>
      </w:r>
      <w:r w:rsidRPr="002D5890">
        <w:rPr>
          <w:rFonts w:ascii="Times New Roman" w:hAnsi="Times New Roman" w:cs="Times New Roman"/>
          <w:smallCaps/>
          <w:sz w:val="20"/>
          <w:szCs w:val="20"/>
        </w:rPr>
        <w:t>BBC News</w:t>
      </w:r>
      <w:r>
        <w:rPr>
          <w:rFonts w:ascii="Times New Roman" w:hAnsi="Times New Roman" w:cs="Times New Roman"/>
          <w:sz w:val="20"/>
          <w:szCs w:val="20"/>
        </w:rPr>
        <w:t xml:space="preserve">, </w:t>
      </w:r>
      <w:r w:rsidRPr="003D47D6">
        <w:rPr>
          <w:rFonts w:ascii="Times New Roman" w:hAnsi="Times New Roman" w:cs="Times New Roman"/>
          <w:sz w:val="20"/>
          <w:szCs w:val="20"/>
        </w:rPr>
        <w:t>http://www.bbc.com/news/world-middle-east-20033995</w:t>
      </w:r>
      <w:r>
        <w:rPr>
          <w:rFonts w:ascii="Times New Roman" w:hAnsi="Times New Roman" w:cs="Times New Roman"/>
          <w:sz w:val="20"/>
          <w:szCs w:val="20"/>
        </w:rPr>
        <w:t xml:space="preserve"> (Nov. 29, 2016).</w:t>
      </w:r>
    </w:p>
  </w:footnote>
  <w:footnote w:id="195">
    <w:p w14:paraId="2D0E94D1" w14:textId="0AC856DA" w:rsidR="00802DBC" w:rsidRPr="00B03937" w:rsidRDefault="00802DBC" w:rsidP="00786328">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CA2399">
        <w:rPr>
          <w:rFonts w:ascii="Times New Roman" w:hAnsi="Times New Roman" w:cs="Times New Roman"/>
          <w:i/>
          <w:iCs/>
          <w:sz w:val="20"/>
          <w:szCs w:val="20"/>
        </w:rPr>
        <w:t>See generally</w:t>
      </w:r>
      <w:r w:rsidRPr="00DF383F">
        <w:rPr>
          <w:rFonts w:ascii="Times New Roman" w:hAnsi="Times New Roman" w:cs="Times New Roman"/>
          <w:sz w:val="20"/>
          <w:szCs w:val="20"/>
        </w:rPr>
        <w:t xml:space="preserve"> </w:t>
      </w:r>
      <w:r w:rsidRPr="00B03937">
        <w:rPr>
          <w:rFonts w:ascii="Times New Roman" w:hAnsi="Times New Roman" w:cs="Times New Roman"/>
          <w:sz w:val="20"/>
          <w:szCs w:val="20"/>
        </w:rPr>
        <w:t xml:space="preserve">Pruitt, </w:t>
      </w:r>
      <w:r w:rsidRPr="00B03937">
        <w:rPr>
          <w:rFonts w:ascii="Times New Roman" w:hAnsi="Times New Roman" w:cs="Times New Roman"/>
          <w:i/>
          <w:iCs/>
          <w:sz w:val="20"/>
          <w:szCs w:val="20"/>
        </w:rPr>
        <w:t xml:space="preserve">supra </w:t>
      </w:r>
      <w:r>
        <w:rPr>
          <w:rFonts w:ascii="Times New Roman" w:hAnsi="Times New Roman" w:cs="Times New Roman"/>
          <w:sz w:val="20"/>
          <w:szCs w:val="20"/>
        </w:rPr>
        <w:t>note 189</w:t>
      </w:r>
      <w:r w:rsidRPr="00B03937">
        <w:rPr>
          <w:rFonts w:ascii="Times New Roman" w:hAnsi="Times New Roman" w:cs="Times New Roman"/>
          <w:sz w:val="20"/>
          <w:szCs w:val="20"/>
        </w:rPr>
        <w:t xml:space="preserve">; </w:t>
      </w:r>
      <w:proofErr w:type="spellStart"/>
      <w:r w:rsidRPr="00B03937">
        <w:rPr>
          <w:rFonts w:ascii="Times New Roman" w:hAnsi="Times New Roman" w:cs="Times New Roman"/>
          <w:sz w:val="20"/>
          <w:szCs w:val="20"/>
        </w:rPr>
        <w:t>Kriesberg</w:t>
      </w:r>
      <w:proofErr w:type="spellEnd"/>
      <w:r>
        <w:rPr>
          <w:rFonts w:ascii="Times New Roman" w:hAnsi="Times New Roman" w:cs="Times New Roman"/>
          <w:sz w:val="20"/>
          <w:szCs w:val="20"/>
        </w:rPr>
        <w:t>,</w:t>
      </w:r>
      <w:r w:rsidRPr="00B03937">
        <w:rPr>
          <w:rFonts w:ascii="Times New Roman" w:hAnsi="Times New Roman" w:cs="Times New Roman"/>
          <w:sz w:val="20"/>
          <w:szCs w:val="20"/>
        </w:rPr>
        <w:t xml:space="preserve"> </w:t>
      </w:r>
      <w:r w:rsidRPr="00B03937">
        <w:rPr>
          <w:rFonts w:ascii="Times New Roman" w:hAnsi="Times New Roman" w:cs="Times New Roman"/>
          <w:i/>
          <w:iCs/>
          <w:sz w:val="20"/>
          <w:szCs w:val="20"/>
        </w:rPr>
        <w:t xml:space="preserve">supra </w:t>
      </w:r>
      <w:r>
        <w:rPr>
          <w:rFonts w:ascii="Times New Roman" w:hAnsi="Times New Roman" w:cs="Times New Roman"/>
          <w:sz w:val="20"/>
          <w:szCs w:val="20"/>
        </w:rPr>
        <w:t>note 189.</w:t>
      </w:r>
    </w:p>
  </w:footnote>
  <w:footnote w:id="196">
    <w:p w14:paraId="69A36F29" w14:textId="3DF7F453" w:rsidR="00802DBC" w:rsidRPr="00EF740A" w:rsidRDefault="00802DBC">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B03937">
        <w:rPr>
          <w:rFonts w:ascii="Times New Roman" w:hAnsi="Times New Roman" w:cs="Times New Roman"/>
          <w:sz w:val="20"/>
          <w:szCs w:val="20"/>
        </w:rPr>
        <w:t xml:space="preserve">Pruitt, </w:t>
      </w:r>
      <w:r w:rsidRPr="00B03937">
        <w:rPr>
          <w:rFonts w:ascii="Times New Roman" w:hAnsi="Times New Roman" w:cs="Times New Roman"/>
          <w:i/>
          <w:iCs/>
          <w:sz w:val="20"/>
          <w:szCs w:val="20"/>
        </w:rPr>
        <w:t xml:space="preserve">supra </w:t>
      </w:r>
      <w:r>
        <w:rPr>
          <w:rFonts w:ascii="Times New Roman" w:hAnsi="Times New Roman" w:cs="Times New Roman"/>
          <w:sz w:val="20"/>
          <w:szCs w:val="20"/>
        </w:rPr>
        <w:t>note 189</w:t>
      </w:r>
      <w:r w:rsidRPr="00B03937">
        <w:rPr>
          <w:rFonts w:ascii="Times New Roman" w:hAnsi="Times New Roman" w:cs="Times New Roman"/>
          <w:sz w:val="20"/>
          <w:szCs w:val="20"/>
        </w:rPr>
        <w:t xml:space="preserve">, at 237. </w:t>
      </w:r>
    </w:p>
  </w:footnote>
  <w:footnote w:id="197">
    <w:p w14:paraId="30184834" w14:textId="42E4029E" w:rsidR="00802DBC" w:rsidRPr="00B03937" w:rsidRDefault="00802DBC">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Pr>
          <w:rFonts w:asciiTheme="majorBidi" w:hAnsiTheme="majorBidi" w:cstheme="majorBidi"/>
          <w:i/>
          <w:iCs/>
          <w:sz w:val="20"/>
          <w:szCs w:val="20"/>
        </w:rPr>
        <w:t>Alternative Dispute</w:t>
      </w:r>
      <w:r w:rsidRPr="00337FB1">
        <w:rPr>
          <w:rFonts w:asciiTheme="majorBidi" w:hAnsiTheme="majorBidi" w:cstheme="majorBidi"/>
          <w:i/>
          <w:iCs/>
          <w:sz w:val="20"/>
          <w:szCs w:val="20"/>
        </w:rPr>
        <w:t xml:space="preserve"> Resolution</w:t>
      </w:r>
      <w:r>
        <w:rPr>
          <w:rFonts w:asciiTheme="majorBidi" w:hAnsiTheme="majorBidi" w:cstheme="majorBidi"/>
          <w:sz w:val="20"/>
          <w:szCs w:val="20"/>
        </w:rPr>
        <w:t xml:space="preserve">, </w:t>
      </w:r>
      <w:r w:rsidRPr="00337FB1">
        <w:rPr>
          <w:rFonts w:ascii="Times New Roman" w:eastAsia="Times New Roman" w:hAnsi="Times New Roman" w:cs="Times New Roman"/>
          <w:smallCaps/>
          <w:sz w:val="20"/>
          <w:szCs w:val="20"/>
        </w:rPr>
        <w:t>Black's</w:t>
      </w:r>
      <w:r w:rsidRPr="00B03937">
        <w:rPr>
          <w:rFonts w:ascii="Times New Roman" w:eastAsia="Times New Roman" w:hAnsi="Times New Roman" w:cs="Times New Roman"/>
          <w:smallCaps/>
          <w:sz w:val="20"/>
          <w:szCs w:val="20"/>
        </w:rPr>
        <w:t xml:space="preserve"> Law Dictionary</w:t>
      </w:r>
      <w:r w:rsidRPr="00B03937">
        <w:rPr>
          <w:rFonts w:ascii="Times New Roman" w:eastAsia="Times New Roman" w:hAnsi="Times New Roman" w:cs="Times New Roman"/>
          <w:sz w:val="20"/>
          <w:szCs w:val="20"/>
        </w:rPr>
        <w:t xml:space="preserve"> (10th ed. 2014</w:t>
      </w:r>
      <w:r>
        <w:rPr>
          <w:rFonts w:ascii="Times New Roman" w:eastAsia="Times New Roman" w:hAnsi="Times New Roman" w:cs="Times New Roman"/>
          <w:sz w:val="20"/>
          <w:szCs w:val="20"/>
        </w:rPr>
        <w:t>).</w:t>
      </w:r>
    </w:p>
  </w:footnote>
  <w:footnote w:id="198">
    <w:p w14:paraId="00B8B689" w14:textId="5D449C0C" w:rsidR="00802DBC" w:rsidRPr="00CA2399" w:rsidRDefault="00802DBC">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00342183">
        <w:rPr>
          <w:rFonts w:asciiTheme="majorBidi" w:hAnsiTheme="majorBidi" w:cstheme="majorBidi"/>
          <w:sz w:val="20"/>
          <w:szCs w:val="20"/>
        </w:rPr>
        <w:t>I</w:t>
      </w:r>
      <w:r w:rsidRPr="00CA2399">
        <w:rPr>
          <w:rFonts w:asciiTheme="majorBidi" w:hAnsiTheme="majorBidi" w:cstheme="majorBidi"/>
          <w:sz w:val="20"/>
          <w:szCs w:val="20"/>
        </w:rPr>
        <w:t>.e. the creation of the Palestinian Authority, and the mutual recognition by the two parties.</w:t>
      </w:r>
    </w:p>
  </w:footnote>
  <w:footnote w:id="199">
    <w:p w14:paraId="11FBF3AE" w14:textId="2A98D149" w:rsidR="00802DBC" w:rsidRPr="00B03937" w:rsidRDefault="00802DBC">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B03937">
        <w:rPr>
          <w:rFonts w:ascii="Times New Roman" w:hAnsi="Times New Roman" w:cs="Times New Roman"/>
          <w:smallCaps/>
          <w:sz w:val="20"/>
          <w:szCs w:val="20"/>
        </w:rPr>
        <w:t>International Law and the Israeli-Palestinian Conflict: A Rights-Based Approach to Middle East Peace</w:t>
      </w:r>
      <w:r w:rsidRPr="00B03937">
        <w:rPr>
          <w:rFonts w:ascii="Times New Roman" w:hAnsi="Times New Roman" w:cs="Times New Roman"/>
          <w:sz w:val="20"/>
          <w:szCs w:val="20"/>
        </w:rPr>
        <w:t xml:space="preserve"> </w:t>
      </w:r>
      <w:r w:rsidRPr="00B03937">
        <w:rPr>
          <w:rFonts w:ascii="Times New Roman" w:hAnsi="Times New Roman" w:cs="Times New Roman"/>
          <w:bCs/>
          <w:sz w:val="20"/>
          <w:szCs w:val="20"/>
        </w:rPr>
        <w:t xml:space="preserve">(Susan M. </w:t>
      </w:r>
      <w:proofErr w:type="spellStart"/>
      <w:r w:rsidRPr="00B03937">
        <w:rPr>
          <w:rFonts w:ascii="Times New Roman" w:hAnsi="Times New Roman" w:cs="Times New Roman"/>
          <w:bCs/>
          <w:sz w:val="20"/>
          <w:szCs w:val="20"/>
        </w:rPr>
        <w:t>Akram</w:t>
      </w:r>
      <w:proofErr w:type="spellEnd"/>
      <w:r w:rsidRPr="00B03937">
        <w:rPr>
          <w:rFonts w:ascii="Times New Roman" w:hAnsi="Times New Roman" w:cs="Times New Roman"/>
          <w:bCs/>
          <w:sz w:val="20"/>
          <w:szCs w:val="20"/>
        </w:rPr>
        <w:t xml:space="preserve">, </w:t>
      </w:r>
      <w:r>
        <w:rPr>
          <w:rFonts w:ascii="Times New Roman" w:hAnsi="Times New Roman" w:cs="Times New Roman"/>
          <w:bCs/>
          <w:sz w:val="20"/>
          <w:szCs w:val="20"/>
        </w:rPr>
        <w:t>et al.</w:t>
      </w:r>
      <w:r w:rsidRPr="00B03937">
        <w:rPr>
          <w:rFonts w:ascii="Times New Roman" w:hAnsi="Times New Roman" w:cs="Times New Roman"/>
          <w:sz w:val="20"/>
          <w:szCs w:val="20"/>
        </w:rPr>
        <w:t xml:space="preserve"> eds.</w:t>
      </w:r>
      <w:r>
        <w:rPr>
          <w:rFonts w:ascii="Times New Roman" w:hAnsi="Times New Roman" w:cs="Times New Roman"/>
          <w:sz w:val="20"/>
          <w:szCs w:val="20"/>
        </w:rPr>
        <w:t>,</w:t>
      </w:r>
      <w:r w:rsidRPr="00B03937">
        <w:rPr>
          <w:rFonts w:ascii="Times New Roman" w:hAnsi="Times New Roman" w:cs="Times New Roman"/>
          <w:sz w:val="20"/>
          <w:szCs w:val="20"/>
        </w:rPr>
        <w:t xml:space="preserve"> 2011). </w:t>
      </w:r>
    </w:p>
  </w:footnote>
  <w:footnote w:id="200">
    <w:p w14:paraId="68AA328A" w14:textId="567A92AB" w:rsidR="00802DBC" w:rsidRPr="00102CE6" w:rsidRDefault="00802DBC">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CA2399">
        <w:rPr>
          <w:rFonts w:asciiTheme="majorBidi" w:hAnsiTheme="majorBidi" w:cstheme="majorBidi"/>
          <w:sz w:val="20"/>
          <w:szCs w:val="20"/>
        </w:rPr>
        <w:t xml:space="preserve">Arnold H. </w:t>
      </w:r>
      <w:proofErr w:type="spellStart"/>
      <w:r w:rsidRPr="00CA2399">
        <w:rPr>
          <w:rFonts w:asciiTheme="majorBidi" w:hAnsiTheme="majorBidi" w:cstheme="majorBidi"/>
          <w:sz w:val="20"/>
          <w:szCs w:val="20"/>
        </w:rPr>
        <w:t>Rutkin</w:t>
      </w:r>
      <w:proofErr w:type="spellEnd"/>
      <w:r w:rsidRPr="00CA2399">
        <w:rPr>
          <w:rFonts w:asciiTheme="majorBidi" w:hAnsiTheme="majorBidi" w:cstheme="majorBidi"/>
          <w:sz w:val="20"/>
          <w:szCs w:val="20"/>
        </w:rPr>
        <w:t xml:space="preserve">, </w:t>
      </w:r>
      <w:r w:rsidRPr="00DF383F">
        <w:rPr>
          <w:rFonts w:asciiTheme="majorBidi" w:hAnsiTheme="majorBidi" w:cstheme="majorBidi"/>
          <w:i/>
          <w:iCs/>
          <w:sz w:val="20"/>
          <w:szCs w:val="20"/>
        </w:rPr>
        <w:t>Alternatives to Litigation</w:t>
      </w:r>
      <w:r w:rsidRPr="007B2ECC">
        <w:rPr>
          <w:rFonts w:asciiTheme="majorBidi" w:hAnsiTheme="majorBidi" w:cstheme="majorBidi"/>
          <w:sz w:val="20"/>
          <w:szCs w:val="20"/>
        </w:rPr>
        <w:t xml:space="preserve">, </w:t>
      </w:r>
      <w:r>
        <w:rPr>
          <w:rFonts w:asciiTheme="majorBidi" w:hAnsiTheme="majorBidi" w:cstheme="majorBidi"/>
          <w:sz w:val="20"/>
          <w:szCs w:val="20"/>
        </w:rPr>
        <w:t xml:space="preserve">this is an ABA sec, yes? </w:t>
      </w:r>
      <w:r w:rsidRPr="007B2ECC">
        <w:rPr>
          <w:rFonts w:asciiTheme="majorBidi" w:hAnsiTheme="majorBidi" w:cstheme="majorBidi"/>
          <w:sz w:val="20"/>
          <w:szCs w:val="20"/>
        </w:rPr>
        <w:t xml:space="preserve">12 </w:t>
      </w:r>
      <w:r w:rsidRPr="00102CE6">
        <w:rPr>
          <w:rFonts w:asciiTheme="majorBidi" w:hAnsiTheme="majorBidi" w:cstheme="majorBidi"/>
          <w:smallCaps/>
          <w:sz w:val="20"/>
          <w:szCs w:val="20"/>
        </w:rPr>
        <w:t xml:space="preserve">Fam. </w:t>
      </w:r>
      <w:proofErr w:type="spellStart"/>
      <w:r w:rsidRPr="00102CE6">
        <w:rPr>
          <w:rFonts w:asciiTheme="majorBidi" w:hAnsiTheme="majorBidi" w:cstheme="majorBidi"/>
          <w:smallCaps/>
          <w:sz w:val="20"/>
          <w:szCs w:val="20"/>
        </w:rPr>
        <w:t>Advoc</w:t>
      </w:r>
      <w:proofErr w:type="spellEnd"/>
      <w:r w:rsidRPr="00102CE6">
        <w:rPr>
          <w:rFonts w:asciiTheme="majorBidi" w:hAnsiTheme="majorBidi" w:cstheme="majorBidi"/>
          <w:smallCaps/>
          <w:sz w:val="20"/>
          <w:szCs w:val="20"/>
        </w:rPr>
        <w:t>.</w:t>
      </w:r>
      <w:r w:rsidRPr="00102CE6">
        <w:rPr>
          <w:rFonts w:asciiTheme="majorBidi" w:hAnsiTheme="majorBidi" w:cstheme="majorBidi"/>
          <w:sz w:val="20"/>
          <w:szCs w:val="20"/>
        </w:rPr>
        <w:t xml:space="preserve"> 52, 54 (1990). </w:t>
      </w:r>
    </w:p>
  </w:footnote>
  <w:footnote w:id="201">
    <w:p w14:paraId="1BEE3F7B" w14:textId="639C6B87" w:rsidR="00802DBC" w:rsidRPr="00CA2399" w:rsidRDefault="00802DBC">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CA2399">
        <w:rPr>
          <w:rFonts w:asciiTheme="majorBidi" w:hAnsiTheme="majorBidi" w:cstheme="majorBidi"/>
          <w:sz w:val="20"/>
          <w:szCs w:val="20"/>
        </w:rPr>
        <w:t>As opposed to interpersonal situation</w:t>
      </w:r>
      <w:r>
        <w:rPr>
          <w:rFonts w:asciiTheme="majorBidi" w:hAnsiTheme="majorBidi" w:cstheme="majorBidi"/>
          <w:sz w:val="20"/>
          <w:szCs w:val="20"/>
        </w:rPr>
        <w:t>s</w:t>
      </w:r>
      <w:r w:rsidRPr="00CA2399">
        <w:rPr>
          <w:rFonts w:asciiTheme="majorBidi" w:hAnsiTheme="majorBidi" w:cstheme="majorBidi"/>
          <w:sz w:val="20"/>
          <w:szCs w:val="20"/>
        </w:rPr>
        <w:t xml:space="preserve">, in which the balance of power varies. </w:t>
      </w:r>
    </w:p>
  </w:footnote>
  <w:footnote w:id="202">
    <w:p w14:paraId="4075799D" w14:textId="43A1A274" w:rsidR="00802DBC" w:rsidRPr="00B03937" w:rsidRDefault="00802DBC">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B03937">
        <w:rPr>
          <w:rFonts w:asciiTheme="majorBidi" w:hAnsiTheme="majorBidi" w:cstheme="majorBidi"/>
          <w:i/>
          <w:iCs/>
          <w:sz w:val="20"/>
          <w:szCs w:val="20"/>
        </w:rPr>
        <w:t>See</w:t>
      </w:r>
      <w:r w:rsidRPr="00B03937">
        <w:rPr>
          <w:rFonts w:asciiTheme="majorBidi" w:hAnsiTheme="majorBidi" w:cstheme="majorBidi"/>
          <w:sz w:val="20"/>
          <w:szCs w:val="20"/>
        </w:rPr>
        <w:t xml:space="preserve"> Claudia Hofmann &amp; Ulrich </w:t>
      </w:r>
      <w:proofErr w:type="spellStart"/>
      <w:r w:rsidRPr="00B03937">
        <w:rPr>
          <w:rFonts w:asciiTheme="majorBidi" w:hAnsiTheme="majorBidi" w:cstheme="majorBidi"/>
          <w:sz w:val="20"/>
          <w:szCs w:val="20"/>
        </w:rPr>
        <w:t>Schneckener</w:t>
      </w:r>
      <w:proofErr w:type="spellEnd"/>
      <w:r w:rsidRPr="00B03937">
        <w:rPr>
          <w:rFonts w:asciiTheme="majorBidi" w:hAnsiTheme="majorBidi" w:cstheme="majorBidi"/>
          <w:sz w:val="20"/>
          <w:szCs w:val="20"/>
        </w:rPr>
        <w:t xml:space="preserve">, </w:t>
      </w:r>
      <w:r w:rsidRPr="00B03937">
        <w:rPr>
          <w:rFonts w:asciiTheme="majorBidi" w:hAnsiTheme="majorBidi" w:cstheme="majorBidi"/>
          <w:i/>
          <w:iCs/>
          <w:sz w:val="20"/>
          <w:szCs w:val="20"/>
        </w:rPr>
        <w:t>Engaging Non-State Armed Actors in State and Peace-Building: Options and Strategies</w:t>
      </w:r>
      <w:r w:rsidRPr="00445C4C">
        <w:rPr>
          <w:rFonts w:asciiTheme="majorBidi" w:hAnsiTheme="majorBidi" w:cstheme="majorBidi"/>
          <w:iCs/>
          <w:sz w:val="20"/>
          <w:szCs w:val="20"/>
        </w:rPr>
        <w:t>,</w:t>
      </w:r>
      <w:r w:rsidRPr="00B03937">
        <w:rPr>
          <w:rFonts w:asciiTheme="majorBidi" w:hAnsiTheme="majorBidi" w:cstheme="majorBidi"/>
          <w:sz w:val="20"/>
          <w:szCs w:val="20"/>
        </w:rPr>
        <w:t xml:space="preserve"> 93 </w:t>
      </w:r>
      <w:r w:rsidRPr="00B03937">
        <w:rPr>
          <w:rFonts w:asciiTheme="majorBidi" w:hAnsiTheme="majorBidi" w:cstheme="majorBidi"/>
          <w:smallCaps/>
          <w:sz w:val="20"/>
          <w:szCs w:val="20"/>
        </w:rPr>
        <w:t>Int’l Rev. Red Cross</w:t>
      </w:r>
      <w:r w:rsidRPr="00B03937">
        <w:rPr>
          <w:rFonts w:asciiTheme="majorBidi" w:hAnsiTheme="majorBidi" w:cstheme="majorBidi"/>
          <w:sz w:val="20"/>
          <w:szCs w:val="20"/>
        </w:rPr>
        <w:t xml:space="preserve"> 1, 3 (2011). </w:t>
      </w:r>
    </w:p>
  </w:footnote>
  <w:footnote w:id="203">
    <w:p w14:paraId="1D0E9DBC" w14:textId="07D6D0B5" w:rsidR="00802DBC" w:rsidRPr="00EF740A" w:rsidRDefault="00802DBC">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CA2399">
        <w:rPr>
          <w:rFonts w:asciiTheme="majorBidi" w:hAnsiTheme="majorBidi" w:cstheme="majorBidi"/>
          <w:sz w:val="20"/>
          <w:szCs w:val="20"/>
        </w:rPr>
        <w:t>The role power imbalance plays in negotiation was examined by Karen Cook and Richard Emerson in their</w:t>
      </w:r>
      <w:r w:rsidRPr="00DF383F">
        <w:rPr>
          <w:rFonts w:asciiTheme="majorBidi" w:hAnsiTheme="majorBidi" w:cstheme="majorBidi"/>
          <w:sz w:val="20"/>
          <w:szCs w:val="20"/>
        </w:rPr>
        <w:t xml:space="preserve"> 1978 study, the findings of which were confirmed b</w:t>
      </w:r>
      <w:r w:rsidRPr="007B2ECC">
        <w:rPr>
          <w:rFonts w:asciiTheme="majorBidi" w:hAnsiTheme="majorBidi" w:cstheme="majorBidi"/>
          <w:sz w:val="20"/>
          <w:szCs w:val="20"/>
        </w:rPr>
        <w:t>y</w:t>
      </w:r>
      <w:r w:rsidRPr="00102CE6">
        <w:rPr>
          <w:rFonts w:asciiTheme="majorBidi" w:hAnsiTheme="majorBidi" w:cstheme="majorBidi"/>
          <w:sz w:val="20"/>
          <w:szCs w:val="20"/>
        </w:rPr>
        <w:t xml:space="preserve"> subsequent studies. </w:t>
      </w:r>
      <w:r>
        <w:rPr>
          <w:rFonts w:asciiTheme="majorBidi" w:hAnsiTheme="majorBidi" w:cstheme="majorBidi"/>
          <w:sz w:val="20"/>
          <w:szCs w:val="20"/>
        </w:rPr>
        <w:t xml:space="preserve"> </w:t>
      </w:r>
      <w:r w:rsidRPr="00102CE6">
        <w:rPr>
          <w:rFonts w:asciiTheme="majorBidi" w:hAnsiTheme="majorBidi" w:cstheme="majorBidi"/>
          <w:i/>
          <w:iCs/>
          <w:sz w:val="20"/>
          <w:szCs w:val="20"/>
        </w:rPr>
        <w:t>See g</w:t>
      </w:r>
      <w:r w:rsidRPr="003E6AD5">
        <w:rPr>
          <w:rFonts w:asciiTheme="majorBidi" w:hAnsiTheme="majorBidi" w:cstheme="majorBidi"/>
          <w:i/>
          <w:iCs/>
          <w:sz w:val="20"/>
          <w:szCs w:val="20"/>
        </w:rPr>
        <w:t xml:space="preserve">enerally </w:t>
      </w:r>
      <w:r w:rsidRPr="0043061D">
        <w:rPr>
          <w:rFonts w:asciiTheme="majorBidi" w:hAnsiTheme="majorBidi" w:cstheme="majorBidi"/>
          <w:sz w:val="20"/>
          <w:szCs w:val="20"/>
        </w:rPr>
        <w:t xml:space="preserve">Karen S. Cook &amp; Richard M. Emerson, </w:t>
      </w:r>
      <w:r w:rsidRPr="00EF740A">
        <w:rPr>
          <w:rFonts w:asciiTheme="majorBidi" w:hAnsiTheme="majorBidi" w:cstheme="majorBidi"/>
          <w:i/>
          <w:iCs/>
          <w:sz w:val="20"/>
          <w:szCs w:val="20"/>
        </w:rPr>
        <w:t>Power, Equity and Commitment in Exchange Networks</w:t>
      </w:r>
      <w:r w:rsidRPr="00445C4C">
        <w:rPr>
          <w:rFonts w:asciiTheme="majorBidi" w:hAnsiTheme="majorBidi" w:cstheme="majorBidi"/>
          <w:iCs/>
          <w:sz w:val="20"/>
          <w:szCs w:val="20"/>
        </w:rPr>
        <w:t>,</w:t>
      </w:r>
      <w:r w:rsidRPr="00EF740A">
        <w:rPr>
          <w:rFonts w:asciiTheme="majorBidi" w:hAnsiTheme="majorBidi" w:cstheme="majorBidi"/>
          <w:i/>
          <w:iCs/>
          <w:sz w:val="20"/>
          <w:szCs w:val="20"/>
        </w:rPr>
        <w:t xml:space="preserve"> </w:t>
      </w:r>
      <w:r>
        <w:rPr>
          <w:rFonts w:asciiTheme="majorBidi" w:hAnsiTheme="majorBidi" w:cstheme="majorBidi"/>
          <w:iCs/>
          <w:sz w:val="20"/>
          <w:szCs w:val="20"/>
        </w:rPr>
        <w:t xml:space="preserve">43 </w:t>
      </w:r>
      <w:r w:rsidRPr="00EF740A">
        <w:rPr>
          <w:rFonts w:asciiTheme="majorBidi" w:hAnsiTheme="majorBidi" w:cstheme="majorBidi"/>
          <w:smallCaps/>
          <w:sz w:val="20"/>
          <w:szCs w:val="20"/>
        </w:rPr>
        <w:t>Am. Soc. Rev.</w:t>
      </w:r>
      <w:r>
        <w:rPr>
          <w:rFonts w:asciiTheme="majorBidi" w:hAnsiTheme="majorBidi" w:cstheme="majorBidi"/>
          <w:smallCaps/>
          <w:sz w:val="20"/>
          <w:szCs w:val="20"/>
        </w:rPr>
        <w:t xml:space="preserve"> 721,</w:t>
      </w:r>
      <w:r w:rsidRPr="00EF740A">
        <w:rPr>
          <w:rFonts w:asciiTheme="majorBidi" w:hAnsiTheme="majorBidi" w:cstheme="majorBidi"/>
          <w:smallCaps/>
          <w:sz w:val="20"/>
          <w:szCs w:val="20"/>
        </w:rPr>
        <w:t xml:space="preserve"> 721</w:t>
      </w:r>
      <w:r>
        <w:rPr>
          <w:rFonts w:asciiTheme="majorBidi" w:hAnsiTheme="majorBidi" w:cstheme="majorBidi"/>
          <w:smallCaps/>
          <w:sz w:val="20"/>
          <w:szCs w:val="20"/>
        </w:rPr>
        <w:t>–</w:t>
      </w:r>
      <w:r w:rsidRPr="00EF740A">
        <w:rPr>
          <w:rFonts w:asciiTheme="majorBidi" w:hAnsiTheme="majorBidi" w:cstheme="majorBidi"/>
          <w:smallCaps/>
          <w:sz w:val="20"/>
          <w:szCs w:val="20"/>
        </w:rPr>
        <w:t>39 (1978).</w:t>
      </w:r>
    </w:p>
  </w:footnote>
  <w:footnote w:id="204">
    <w:p w14:paraId="588D0662" w14:textId="38448EFC" w:rsidR="00802DBC" w:rsidRPr="00EF740A" w:rsidRDefault="00802DBC" w:rsidP="0073385B">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CA2399">
        <w:rPr>
          <w:rFonts w:ascii="Times New Roman" w:hAnsi="Times New Roman" w:cs="Times New Roman"/>
          <w:sz w:val="20"/>
          <w:szCs w:val="20"/>
        </w:rPr>
        <w:t>Afghanistan was the focus of several proxy wars b</w:t>
      </w:r>
      <w:r w:rsidRPr="00DF383F">
        <w:rPr>
          <w:rFonts w:ascii="Times New Roman" w:hAnsi="Times New Roman" w:cs="Times New Roman"/>
          <w:sz w:val="20"/>
          <w:szCs w:val="20"/>
        </w:rPr>
        <w:t>etween world powers which began in the late ninetee</w:t>
      </w:r>
      <w:r w:rsidRPr="007B2ECC">
        <w:rPr>
          <w:rFonts w:ascii="Times New Roman" w:hAnsi="Times New Roman" w:cs="Times New Roman"/>
          <w:sz w:val="20"/>
          <w:szCs w:val="20"/>
        </w:rPr>
        <w:t>n</w:t>
      </w:r>
      <w:r w:rsidRPr="00102CE6">
        <w:rPr>
          <w:rFonts w:ascii="Times New Roman" w:hAnsi="Times New Roman" w:cs="Times New Roman"/>
          <w:sz w:val="20"/>
          <w:szCs w:val="20"/>
        </w:rPr>
        <w:t>th century and lasted thro</w:t>
      </w:r>
      <w:r w:rsidRPr="0043061D">
        <w:rPr>
          <w:rFonts w:ascii="Times New Roman" w:hAnsi="Times New Roman" w:cs="Times New Roman"/>
          <w:sz w:val="20"/>
          <w:szCs w:val="20"/>
        </w:rPr>
        <w:t>ugh th</w:t>
      </w:r>
      <w:r w:rsidRPr="00EF740A">
        <w:rPr>
          <w:rFonts w:ascii="Times New Roman" w:hAnsi="Times New Roman" w:cs="Times New Roman"/>
          <w:sz w:val="20"/>
          <w:szCs w:val="20"/>
        </w:rPr>
        <w:t xml:space="preserve">e end of the Cold War. </w:t>
      </w:r>
      <w:r>
        <w:rPr>
          <w:rFonts w:ascii="Times New Roman" w:hAnsi="Times New Roman" w:cs="Times New Roman"/>
          <w:sz w:val="20"/>
          <w:szCs w:val="20"/>
        </w:rPr>
        <w:t xml:space="preserve"> </w:t>
      </w:r>
      <w:r w:rsidRPr="00EF740A">
        <w:rPr>
          <w:rFonts w:ascii="Times New Roman" w:hAnsi="Times New Roman" w:cs="Times New Roman"/>
          <w:sz w:val="20"/>
          <w:szCs w:val="20"/>
        </w:rPr>
        <w:t xml:space="preserve">The United States, Great Britain, and the Soviet Union all vied for influence in Afghanistan leaving the country a volatile mess. During the Cold War, the United States supported anti-Soviet </w:t>
      </w:r>
      <w:r w:rsidRPr="00EF740A">
        <w:rPr>
          <w:rFonts w:ascii="Times New Roman" w:hAnsi="Times New Roman" w:cs="Times New Roman"/>
          <w:i/>
          <w:sz w:val="20"/>
          <w:szCs w:val="20"/>
        </w:rPr>
        <w:t>mujahedeen</w:t>
      </w:r>
      <w:r w:rsidRPr="00EF740A">
        <w:rPr>
          <w:rFonts w:ascii="Times New Roman" w:hAnsi="Times New Roman" w:cs="Times New Roman"/>
          <w:sz w:val="20"/>
          <w:szCs w:val="20"/>
        </w:rPr>
        <w:t xml:space="preserve">, or “those engaged in </w:t>
      </w:r>
      <w:r w:rsidRPr="00EF740A">
        <w:rPr>
          <w:rFonts w:ascii="Times New Roman" w:hAnsi="Times New Roman" w:cs="Times New Roman"/>
          <w:i/>
          <w:sz w:val="20"/>
          <w:szCs w:val="20"/>
        </w:rPr>
        <w:t>jihad</w:t>
      </w:r>
      <w:r w:rsidRPr="00EF740A">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spellStart"/>
      <w:r w:rsidRPr="00B03937">
        <w:rPr>
          <w:rFonts w:ascii="Times New Roman" w:hAnsi="Times New Roman" w:cs="Times New Roman"/>
          <w:sz w:val="20"/>
          <w:szCs w:val="20"/>
        </w:rPr>
        <w:t>Ebrahim</w:t>
      </w:r>
      <w:proofErr w:type="spellEnd"/>
      <w:r w:rsidRPr="00B03937">
        <w:rPr>
          <w:rFonts w:ascii="Times New Roman" w:hAnsi="Times New Roman" w:cs="Times New Roman"/>
          <w:sz w:val="20"/>
          <w:szCs w:val="20"/>
        </w:rPr>
        <w:t xml:space="preserve"> </w:t>
      </w:r>
      <w:proofErr w:type="spellStart"/>
      <w:r w:rsidRPr="00B03937">
        <w:rPr>
          <w:rFonts w:ascii="Times New Roman" w:hAnsi="Times New Roman" w:cs="Times New Roman"/>
          <w:sz w:val="20"/>
          <w:szCs w:val="20"/>
        </w:rPr>
        <w:t>Afsah</w:t>
      </w:r>
      <w:proofErr w:type="spellEnd"/>
      <w:r w:rsidRPr="00B03937">
        <w:rPr>
          <w:rFonts w:ascii="Times New Roman" w:hAnsi="Times New Roman" w:cs="Times New Roman"/>
          <w:sz w:val="20"/>
          <w:szCs w:val="20"/>
        </w:rPr>
        <w:t xml:space="preserve"> &amp;</w:t>
      </w:r>
      <w:r>
        <w:rPr>
          <w:rFonts w:ascii="Times New Roman" w:hAnsi="Times New Roman" w:cs="Times New Roman"/>
          <w:sz w:val="20"/>
          <w:szCs w:val="20"/>
        </w:rPr>
        <w:t xml:space="preserve"> </w:t>
      </w:r>
      <w:r w:rsidRPr="00B03937">
        <w:rPr>
          <w:rFonts w:ascii="Times New Roman" w:hAnsi="Times New Roman" w:cs="Times New Roman"/>
          <w:sz w:val="20"/>
          <w:szCs w:val="20"/>
        </w:rPr>
        <w:t xml:space="preserve">Alexandra </w:t>
      </w:r>
      <w:proofErr w:type="spellStart"/>
      <w:r w:rsidRPr="00B03937">
        <w:rPr>
          <w:rFonts w:ascii="Times New Roman" w:hAnsi="Times New Roman" w:cs="Times New Roman"/>
          <w:sz w:val="20"/>
          <w:szCs w:val="20"/>
        </w:rPr>
        <w:t>Hilal</w:t>
      </w:r>
      <w:proofErr w:type="spellEnd"/>
      <w:r w:rsidRPr="00B03937">
        <w:rPr>
          <w:rFonts w:ascii="Times New Roman" w:hAnsi="Times New Roman" w:cs="Times New Roman"/>
          <w:sz w:val="20"/>
          <w:szCs w:val="20"/>
        </w:rPr>
        <w:t xml:space="preserve"> </w:t>
      </w:r>
      <w:proofErr w:type="spellStart"/>
      <w:r w:rsidRPr="00B03937">
        <w:rPr>
          <w:rFonts w:ascii="Times New Roman" w:hAnsi="Times New Roman" w:cs="Times New Roman"/>
          <w:sz w:val="20"/>
          <w:szCs w:val="20"/>
        </w:rPr>
        <w:t>Guhr</w:t>
      </w:r>
      <w:proofErr w:type="spellEnd"/>
      <w:r w:rsidRPr="00B03937">
        <w:rPr>
          <w:rFonts w:ascii="Times New Roman" w:hAnsi="Times New Roman" w:cs="Times New Roman"/>
          <w:sz w:val="20"/>
          <w:szCs w:val="20"/>
        </w:rPr>
        <w:t xml:space="preserve">, </w:t>
      </w:r>
      <w:r w:rsidRPr="00B03937">
        <w:rPr>
          <w:rFonts w:ascii="Times New Roman" w:hAnsi="Times New Roman" w:cs="Times New Roman"/>
          <w:i/>
          <w:sz w:val="20"/>
          <w:szCs w:val="20"/>
        </w:rPr>
        <w:t>Afghanistan: Building a State to Keep the Peace</w:t>
      </w:r>
      <w:r w:rsidRPr="001200B8">
        <w:rPr>
          <w:rFonts w:ascii="Times New Roman" w:hAnsi="Times New Roman" w:cs="Times New Roman"/>
          <w:sz w:val="20"/>
          <w:szCs w:val="20"/>
        </w:rPr>
        <w:t>,</w:t>
      </w:r>
      <w:r w:rsidRPr="00EF740A">
        <w:rPr>
          <w:rFonts w:ascii="Times New Roman" w:hAnsi="Times New Roman" w:cs="Times New Roman"/>
          <w:sz w:val="20"/>
          <w:szCs w:val="20"/>
        </w:rPr>
        <w:t xml:space="preserve"> </w:t>
      </w:r>
      <w:r w:rsidRPr="001200B8">
        <w:rPr>
          <w:rFonts w:ascii="Times New Roman" w:hAnsi="Times New Roman" w:cs="Times New Roman"/>
          <w:sz w:val="20"/>
          <w:szCs w:val="20"/>
        </w:rPr>
        <w:t xml:space="preserve">9 </w:t>
      </w:r>
      <w:r w:rsidRPr="001200B8">
        <w:rPr>
          <w:rFonts w:ascii="Times New Roman" w:hAnsi="Times New Roman" w:cs="Times New Roman"/>
          <w:smallCaps/>
          <w:sz w:val="20"/>
          <w:szCs w:val="20"/>
        </w:rPr>
        <w:t>Max Planck Y.B. U.N. L</w:t>
      </w:r>
      <w:r w:rsidRPr="001200B8">
        <w:rPr>
          <w:rFonts w:ascii="Times New Roman" w:hAnsi="Times New Roman" w:cs="Times New Roman"/>
          <w:sz w:val="20"/>
          <w:szCs w:val="20"/>
        </w:rPr>
        <w:t xml:space="preserve">. 373, 380; </w:t>
      </w:r>
      <w:r w:rsidRPr="00EF740A">
        <w:rPr>
          <w:rFonts w:ascii="Times New Roman" w:hAnsi="Times New Roman" w:cs="Times New Roman"/>
          <w:i/>
          <w:sz w:val="20"/>
          <w:szCs w:val="20"/>
        </w:rPr>
        <w:t xml:space="preserve">A Historical Timeline of </w:t>
      </w:r>
      <w:r w:rsidRPr="00CA2399">
        <w:rPr>
          <w:rFonts w:ascii="Times New Roman" w:hAnsi="Times New Roman" w:cs="Times New Roman"/>
          <w:i/>
          <w:sz w:val="20"/>
          <w:szCs w:val="20"/>
        </w:rPr>
        <w:t>Afghanistan</w:t>
      </w:r>
      <w:r w:rsidRPr="00DF383F">
        <w:rPr>
          <w:rFonts w:ascii="Times New Roman" w:hAnsi="Times New Roman" w:cs="Times New Roman"/>
          <w:sz w:val="20"/>
          <w:szCs w:val="20"/>
        </w:rPr>
        <w:t>,</w:t>
      </w:r>
      <w:r w:rsidRPr="007B2ECC">
        <w:rPr>
          <w:rFonts w:ascii="Times New Roman" w:hAnsi="Times New Roman" w:cs="Times New Roman"/>
          <w:smallCaps/>
          <w:sz w:val="20"/>
          <w:szCs w:val="20"/>
        </w:rPr>
        <w:t xml:space="preserve"> </w:t>
      </w:r>
      <w:r w:rsidRPr="00EF740A">
        <w:rPr>
          <w:rFonts w:ascii="Times New Roman" w:hAnsi="Times New Roman" w:cs="Times New Roman"/>
          <w:smallCaps/>
          <w:sz w:val="20"/>
          <w:szCs w:val="20"/>
        </w:rPr>
        <w:t>PBS</w:t>
      </w:r>
      <w:r w:rsidRPr="00CA2399">
        <w:rPr>
          <w:rFonts w:ascii="Times New Roman" w:hAnsi="Times New Roman" w:cs="Times New Roman"/>
          <w:smallCaps/>
          <w:sz w:val="20"/>
          <w:szCs w:val="20"/>
        </w:rPr>
        <w:t xml:space="preserve"> News Hour</w:t>
      </w:r>
      <w:r>
        <w:rPr>
          <w:rFonts w:ascii="Times New Roman" w:hAnsi="Times New Roman" w:cs="Times New Roman"/>
          <w:smallCaps/>
          <w:sz w:val="20"/>
          <w:szCs w:val="20"/>
        </w:rPr>
        <w:t xml:space="preserve"> (</w:t>
      </w:r>
      <w:r>
        <w:rPr>
          <w:rFonts w:ascii="Times New Roman" w:hAnsi="Times New Roman" w:cs="Times New Roman"/>
          <w:sz w:val="20"/>
          <w:szCs w:val="20"/>
        </w:rPr>
        <w:t>May 4, 2011),</w:t>
      </w:r>
      <w:r w:rsidRPr="00984ED5">
        <w:rPr>
          <w:rFonts w:ascii="Times New Roman" w:hAnsi="Times New Roman" w:cs="Times New Roman"/>
          <w:sz w:val="20"/>
          <w:szCs w:val="20"/>
        </w:rPr>
        <w:t xml:space="preserve"> </w:t>
      </w:r>
      <w:r w:rsidRPr="001200B8">
        <w:rPr>
          <w:rFonts w:ascii="Times New Roman" w:hAnsi="Times New Roman" w:cs="Times New Roman"/>
          <w:sz w:val="20"/>
          <w:szCs w:val="20"/>
        </w:rPr>
        <w:t>http://www.pbs.org/newshour/updates/asia-jan-june11-timeline-afghanistan/.</w:t>
      </w:r>
    </w:p>
  </w:footnote>
  <w:footnote w:id="205">
    <w:p w14:paraId="2E5DA55A" w14:textId="73AF819C" w:rsidR="00802DBC" w:rsidRPr="001200B8" w:rsidRDefault="00802DBC">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CA2399">
        <w:rPr>
          <w:rFonts w:ascii="Times New Roman" w:hAnsi="Times New Roman" w:cs="Times New Roman"/>
          <w:sz w:val="20"/>
          <w:szCs w:val="20"/>
        </w:rPr>
        <w:t xml:space="preserve">Sarah </w:t>
      </w:r>
      <w:proofErr w:type="spellStart"/>
      <w:r w:rsidRPr="00CA2399">
        <w:rPr>
          <w:rFonts w:ascii="Times New Roman" w:hAnsi="Times New Roman" w:cs="Times New Roman"/>
          <w:sz w:val="20"/>
          <w:szCs w:val="20"/>
        </w:rPr>
        <w:t>Darehshori</w:t>
      </w:r>
      <w:proofErr w:type="spellEnd"/>
      <w:r w:rsidRPr="00CA2399">
        <w:rPr>
          <w:rFonts w:ascii="Times New Roman" w:hAnsi="Times New Roman" w:cs="Times New Roman"/>
          <w:sz w:val="20"/>
          <w:szCs w:val="20"/>
        </w:rPr>
        <w:t xml:space="preserve">, </w:t>
      </w:r>
      <w:r w:rsidRPr="00DF383F">
        <w:rPr>
          <w:rFonts w:ascii="Times New Roman" w:hAnsi="Times New Roman" w:cs="Times New Roman"/>
          <w:i/>
          <w:iCs/>
          <w:sz w:val="20"/>
          <w:szCs w:val="20"/>
        </w:rPr>
        <w:t>Pursuing Peace in an Era of International Justice</w:t>
      </w:r>
      <w:r w:rsidRPr="007B2ECC">
        <w:rPr>
          <w:rFonts w:ascii="Times New Roman" w:hAnsi="Times New Roman" w:cs="Times New Roman"/>
          <w:sz w:val="20"/>
          <w:szCs w:val="20"/>
        </w:rPr>
        <w:t>,</w:t>
      </w:r>
      <w:r w:rsidRPr="00102CE6">
        <w:rPr>
          <w:rFonts w:ascii="Times New Roman" w:hAnsi="Times New Roman" w:cs="Times New Roman"/>
          <w:i/>
          <w:iCs/>
          <w:sz w:val="20"/>
          <w:szCs w:val="20"/>
        </w:rPr>
        <w:t xml:space="preserve"> </w:t>
      </w:r>
      <w:r w:rsidRPr="001200B8">
        <w:rPr>
          <w:rFonts w:ascii="Times New Roman" w:hAnsi="Times New Roman" w:cs="Times New Roman"/>
          <w:sz w:val="20"/>
          <w:szCs w:val="20"/>
        </w:rPr>
        <w:t xml:space="preserve">50 </w:t>
      </w:r>
      <w:proofErr w:type="spellStart"/>
      <w:r w:rsidRPr="001200B8">
        <w:rPr>
          <w:rFonts w:ascii="Times New Roman" w:hAnsi="Times New Roman" w:cs="Times New Roman"/>
          <w:smallCaps/>
          <w:sz w:val="20"/>
          <w:szCs w:val="20"/>
        </w:rPr>
        <w:t>Politorbis</w:t>
      </w:r>
      <w:proofErr w:type="spellEnd"/>
      <w:r w:rsidRPr="001200B8">
        <w:rPr>
          <w:rFonts w:ascii="Times New Roman" w:hAnsi="Times New Roman" w:cs="Times New Roman"/>
          <w:sz w:val="20"/>
          <w:szCs w:val="20"/>
        </w:rPr>
        <w:t xml:space="preserve"> 83, 91 (2010); </w:t>
      </w:r>
      <w:proofErr w:type="spellStart"/>
      <w:r w:rsidRPr="001200B8">
        <w:rPr>
          <w:rFonts w:ascii="Times New Roman" w:hAnsi="Times New Roman" w:cs="Times New Roman"/>
          <w:sz w:val="20"/>
          <w:szCs w:val="20"/>
        </w:rPr>
        <w:t>Afsah</w:t>
      </w:r>
      <w:proofErr w:type="spellEnd"/>
      <w:r w:rsidRPr="001200B8">
        <w:rPr>
          <w:rFonts w:ascii="Times New Roman" w:hAnsi="Times New Roman" w:cs="Times New Roman"/>
          <w:sz w:val="20"/>
          <w:szCs w:val="20"/>
        </w:rPr>
        <w:t xml:space="preserve"> &amp; </w:t>
      </w:r>
      <w:proofErr w:type="spellStart"/>
      <w:r w:rsidRPr="001200B8">
        <w:rPr>
          <w:rFonts w:ascii="Times New Roman" w:hAnsi="Times New Roman" w:cs="Times New Roman"/>
          <w:sz w:val="20"/>
          <w:szCs w:val="20"/>
        </w:rPr>
        <w:t>Guhr</w:t>
      </w:r>
      <w:proofErr w:type="spellEnd"/>
      <w:r w:rsidRPr="001200B8">
        <w:rPr>
          <w:rFonts w:ascii="Times New Roman" w:hAnsi="Times New Roman" w:cs="Times New Roman"/>
          <w:sz w:val="20"/>
          <w:szCs w:val="20"/>
        </w:rPr>
        <w:t xml:space="preserve">, </w:t>
      </w:r>
      <w:r w:rsidRPr="001200B8">
        <w:rPr>
          <w:rFonts w:ascii="Times New Roman" w:hAnsi="Times New Roman" w:cs="Times New Roman"/>
          <w:i/>
          <w:iCs/>
          <w:sz w:val="20"/>
          <w:szCs w:val="20"/>
        </w:rPr>
        <w:t xml:space="preserve">supra </w:t>
      </w:r>
      <w:r>
        <w:rPr>
          <w:rFonts w:ascii="Times New Roman" w:hAnsi="Times New Roman" w:cs="Times New Roman"/>
          <w:sz w:val="20"/>
          <w:szCs w:val="20"/>
        </w:rPr>
        <w:t>note 203</w:t>
      </w:r>
      <w:r w:rsidRPr="001200B8">
        <w:rPr>
          <w:rFonts w:ascii="Times New Roman" w:hAnsi="Times New Roman" w:cs="Times New Roman"/>
          <w:sz w:val="20"/>
          <w:szCs w:val="20"/>
        </w:rPr>
        <w:t>, at 379.</w:t>
      </w:r>
    </w:p>
  </w:footnote>
  <w:footnote w:id="206">
    <w:p w14:paraId="1468A450" w14:textId="044F84E2" w:rsidR="00802DBC" w:rsidRPr="001200B8" w:rsidRDefault="00802DBC">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proofErr w:type="spellStart"/>
      <w:r w:rsidRPr="001200B8">
        <w:rPr>
          <w:rFonts w:ascii="Times New Roman" w:hAnsi="Times New Roman" w:cs="Times New Roman"/>
          <w:sz w:val="20"/>
          <w:szCs w:val="20"/>
        </w:rPr>
        <w:t>Afsah</w:t>
      </w:r>
      <w:proofErr w:type="spellEnd"/>
      <w:r w:rsidRPr="001200B8">
        <w:rPr>
          <w:rFonts w:ascii="Times New Roman" w:hAnsi="Times New Roman" w:cs="Times New Roman"/>
          <w:sz w:val="20"/>
          <w:szCs w:val="20"/>
        </w:rPr>
        <w:t xml:space="preserve"> &amp; </w:t>
      </w:r>
      <w:proofErr w:type="spellStart"/>
      <w:r w:rsidRPr="001200B8">
        <w:rPr>
          <w:rFonts w:ascii="Times New Roman" w:hAnsi="Times New Roman" w:cs="Times New Roman"/>
          <w:sz w:val="20"/>
          <w:szCs w:val="20"/>
        </w:rPr>
        <w:t>Guhr</w:t>
      </w:r>
      <w:proofErr w:type="spellEnd"/>
      <w:r w:rsidRPr="001200B8">
        <w:rPr>
          <w:rFonts w:ascii="Times New Roman" w:hAnsi="Times New Roman" w:cs="Times New Roman"/>
          <w:sz w:val="20"/>
          <w:szCs w:val="20"/>
        </w:rPr>
        <w:t xml:space="preserve">, </w:t>
      </w:r>
      <w:r w:rsidRPr="001200B8">
        <w:rPr>
          <w:rFonts w:ascii="Times New Roman" w:hAnsi="Times New Roman" w:cs="Times New Roman"/>
          <w:i/>
          <w:iCs/>
          <w:sz w:val="20"/>
          <w:szCs w:val="20"/>
        </w:rPr>
        <w:t xml:space="preserve">supra </w:t>
      </w:r>
      <w:r>
        <w:rPr>
          <w:rFonts w:ascii="Times New Roman" w:hAnsi="Times New Roman" w:cs="Times New Roman"/>
          <w:sz w:val="20"/>
          <w:szCs w:val="20"/>
        </w:rPr>
        <w:t>note 203,</w:t>
      </w:r>
      <w:r w:rsidRPr="001200B8">
        <w:rPr>
          <w:rFonts w:ascii="Times New Roman" w:hAnsi="Times New Roman" w:cs="Times New Roman"/>
          <w:sz w:val="20"/>
          <w:szCs w:val="20"/>
        </w:rPr>
        <w:t xml:space="preserve"> at 380.</w:t>
      </w:r>
    </w:p>
  </w:footnote>
  <w:footnote w:id="207">
    <w:p w14:paraId="19547180" w14:textId="3520423D" w:rsidR="00802DBC" w:rsidRPr="001200B8" w:rsidRDefault="00802DBC">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1200B8">
        <w:rPr>
          <w:rFonts w:ascii="Times New Roman" w:hAnsi="Times New Roman" w:cs="Times New Roman"/>
          <w:i/>
          <w:sz w:val="20"/>
          <w:szCs w:val="20"/>
        </w:rPr>
        <w:t>Id</w:t>
      </w:r>
      <w:r w:rsidRPr="001200B8">
        <w:rPr>
          <w:rFonts w:ascii="Times New Roman" w:hAnsi="Times New Roman" w:cs="Times New Roman"/>
          <w:sz w:val="20"/>
          <w:szCs w:val="20"/>
        </w:rPr>
        <w:t>.</w:t>
      </w:r>
    </w:p>
  </w:footnote>
  <w:footnote w:id="208">
    <w:p w14:paraId="011C62A7" w14:textId="2CDB06B3" w:rsidR="00802DBC" w:rsidRPr="001200B8" w:rsidRDefault="00802DBC">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1200B8">
        <w:rPr>
          <w:rFonts w:ascii="Times New Roman" w:hAnsi="Times New Roman" w:cs="Times New Roman"/>
          <w:i/>
          <w:sz w:val="20"/>
          <w:szCs w:val="20"/>
        </w:rPr>
        <w:t>Id</w:t>
      </w:r>
      <w:r w:rsidRPr="001200B8">
        <w:rPr>
          <w:rFonts w:ascii="Times New Roman" w:hAnsi="Times New Roman" w:cs="Times New Roman"/>
          <w:sz w:val="20"/>
          <w:szCs w:val="20"/>
        </w:rPr>
        <w:t>.</w:t>
      </w:r>
    </w:p>
  </w:footnote>
  <w:footnote w:id="209">
    <w:p w14:paraId="291D2E7F" w14:textId="20BCC673" w:rsidR="00802DBC" w:rsidRPr="001200B8" w:rsidRDefault="00802DBC" w:rsidP="000D1F28">
      <w:pPr>
        <w:pStyle w:val="FootnoteText"/>
        <w:ind w:firstLine="144"/>
        <w:jc w:val="both"/>
        <w:rPr>
          <w:rFonts w:ascii="Times New Roman" w:hAnsi="Times New Roman" w:cs="Times New Roman"/>
          <w:iCs/>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r w:rsidRPr="001200B8">
        <w:rPr>
          <w:rFonts w:ascii="Times New Roman" w:hAnsi="Times New Roman" w:cs="Times New Roman"/>
          <w:i/>
          <w:sz w:val="20"/>
          <w:szCs w:val="20"/>
        </w:rPr>
        <w:t xml:space="preserve">Id. </w:t>
      </w:r>
    </w:p>
  </w:footnote>
  <w:footnote w:id="210">
    <w:p w14:paraId="4285714E" w14:textId="34641775" w:rsidR="00802DBC" w:rsidRPr="00DF383F" w:rsidRDefault="00802DBC">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proofErr w:type="spellStart"/>
      <w:r w:rsidRPr="001200B8">
        <w:rPr>
          <w:rFonts w:ascii="Times New Roman" w:hAnsi="Times New Roman" w:cs="Times New Roman"/>
          <w:sz w:val="20"/>
          <w:szCs w:val="20"/>
        </w:rPr>
        <w:t>Afsah</w:t>
      </w:r>
      <w:proofErr w:type="spellEnd"/>
      <w:r w:rsidRPr="001200B8">
        <w:rPr>
          <w:rFonts w:ascii="Times New Roman" w:hAnsi="Times New Roman" w:cs="Times New Roman"/>
          <w:sz w:val="20"/>
          <w:szCs w:val="20"/>
        </w:rPr>
        <w:t xml:space="preserve"> &amp; </w:t>
      </w:r>
      <w:proofErr w:type="spellStart"/>
      <w:r w:rsidRPr="001200B8">
        <w:rPr>
          <w:rFonts w:ascii="Times New Roman" w:hAnsi="Times New Roman" w:cs="Times New Roman"/>
          <w:sz w:val="20"/>
          <w:szCs w:val="20"/>
        </w:rPr>
        <w:t>Guhr</w:t>
      </w:r>
      <w:proofErr w:type="spellEnd"/>
      <w:r w:rsidRPr="001200B8">
        <w:rPr>
          <w:rFonts w:ascii="Times New Roman" w:hAnsi="Times New Roman" w:cs="Times New Roman"/>
          <w:sz w:val="20"/>
          <w:szCs w:val="20"/>
        </w:rPr>
        <w:t xml:space="preserve">, </w:t>
      </w:r>
      <w:r w:rsidRPr="001200B8">
        <w:rPr>
          <w:rFonts w:ascii="Times New Roman" w:hAnsi="Times New Roman" w:cs="Times New Roman"/>
          <w:i/>
          <w:iCs/>
          <w:sz w:val="20"/>
          <w:szCs w:val="20"/>
        </w:rPr>
        <w:t xml:space="preserve">supra </w:t>
      </w:r>
      <w:r w:rsidRPr="001200B8">
        <w:rPr>
          <w:rFonts w:ascii="Times New Roman" w:hAnsi="Times New Roman" w:cs="Times New Roman"/>
          <w:sz w:val="20"/>
          <w:szCs w:val="20"/>
        </w:rPr>
        <w:t>note 20</w:t>
      </w:r>
      <w:r>
        <w:rPr>
          <w:rFonts w:ascii="Times New Roman" w:hAnsi="Times New Roman" w:cs="Times New Roman"/>
          <w:sz w:val="20"/>
          <w:szCs w:val="20"/>
        </w:rPr>
        <w:t>3</w:t>
      </w:r>
      <w:r w:rsidRPr="001200B8">
        <w:rPr>
          <w:rFonts w:ascii="Times New Roman" w:hAnsi="Times New Roman" w:cs="Times New Roman"/>
          <w:smallCaps/>
          <w:sz w:val="20"/>
          <w:szCs w:val="20"/>
        </w:rPr>
        <w:t>,</w:t>
      </w:r>
      <w:r w:rsidRPr="001200B8">
        <w:rPr>
          <w:rFonts w:ascii="Times New Roman" w:hAnsi="Times New Roman" w:cs="Times New Roman"/>
          <w:sz w:val="20"/>
          <w:szCs w:val="20"/>
        </w:rPr>
        <w:t xml:space="preserve"> at 413; </w:t>
      </w:r>
      <w:proofErr w:type="spellStart"/>
      <w:r w:rsidRPr="00EF740A">
        <w:rPr>
          <w:rFonts w:ascii="Times New Roman" w:hAnsi="Times New Roman" w:cs="Times New Roman"/>
          <w:sz w:val="20"/>
          <w:szCs w:val="20"/>
        </w:rPr>
        <w:t>Darehshori</w:t>
      </w:r>
      <w:proofErr w:type="spellEnd"/>
      <w:r w:rsidRPr="00EF740A">
        <w:rPr>
          <w:rFonts w:ascii="Times New Roman" w:hAnsi="Times New Roman" w:cs="Times New Roman"/>
          <w:sz w:val="20"/>
          <w:szCs w:val="20"/>
        </w:rPr>
        <w:t xml:space="preserve">, </w:t>
      </w:r>
      <w:r w:rsidRPr="00CA2399">
        <w:rPr>
          <w:rFonts w:ascii="Times New Roman" w:hAnsi="Times New Roman" w:cs="Times New Roman"/>
          <w:i/>
          <w:iCs/>
          <w:sz w:val="20"/>
          <w:szCs w:val="20"/>
        </w:rPr>
        <w:t xml:space="preserve">supra </w:t>
      </w:r>
      <w:r>
        <w:rPr>
          <w:rFonts w:ascii="Times New Roman" w:hAnsi="Times New Roman" w:cs="Times New Roman"/>
          <w:sz w:val="20"/>
          <w:szCs w:val="20"/>
        </w:rPr>
        <w:t>note 204</w:t>
      </w:r>
      <w:r w:rsidRPr="00DF383F">
        <w:rPr>
          <w:rFonts w:ascii="Times New Roman" w:hAnsi="Times New Roman" w:cs="Times New Roman"/>
          <w:sz w:val="20"/>
          <w:szCs w:val="20"/>
        </w:rPr>
        <w:t>.</w:t>
      </w:r>
    </w:p>
  </w:footnote>
  <w:footnote w:id="211">
    <w:p w14:paraId="2F2E5580" w14:textId="251EAEB9" w:rsidR="00802DBC" w:rsidRPr="007B2ECC" w:rsidRDefault="00802DBC">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proofErr w:type="spellStart"/>
      <w:r w:rsidRPr="00CA2399">
        <w:rPr>
          <w:rFonts w:ascii="Times New Roman" w:hAnsi="Times New Roman" w:cs="Times New Roman"/>
          <w:sz w:val="20"/>
          <w:szCs w:val="20"/>
        </w:rPr>
        <w:t>Darehshori</w:t>
      </w:r>
      <w:proofErr w:type="spellEnd"/>
      <w:r w:rsidRPr="00CA2399">
        <w:rPr>
          <w:rFonts w:ascii="Times New Roman" w:hAnsi="Times New Roman" w:cs="Times New Roman"/>
          <w:sz w:val="20"/>
          <w:szCs w:val="20"/>
        </w:rPr>
        <w:t xml:space="preserve">, </w:t>
      </w:r>
      <w:r w:rsidRPr="00DF383F">
        <w:rPr>
          <w:rFonts w:ascii="Times New Roman" w:hAnsi="Times New Roman" w:cs="Times New Roman"/>
          <w:i/>
          <w:iCs/>
          <w:sz w:val="20"/>
          <w:szCs w:val="20"/>
        </w:rPr>
        <w:t xml:space="preserve">supra </w:t>
      </w:r>
      <w:r>
        <w:rPr>
          <w:rFonts w:ascii="Times New Roman" w:hAnsi="Times New Roman" w:cs="Times New Roman"/>
          <w:sz w:val="20"/>
          <w:szCs w:val="20"/>
        </w:rPr>
        <w:t>note 204</w:t>
      </w:r>
      <w:r w:rsidRPr="007B2ECC">
        <w:rPr>
          <w:rFonts w:ascii="Times New Roman" w:hAnsi="Times New Roman" w:cs="Times New Roman"/>
          <w:sz w:val="20"/>
          <w:szCs w:val="20"/>
        </w:rPr>
        <w:t>.</w:t>
      </w:r>
    </w:p>
  </w:footnote>
  <w:footnote w:id="212">
    <w:p w14:paraId="1D67A4B2" w14:textId="3CA6ED76" w:rsidR="00802DBC" w:rsidRPr="001200B8" w:rsidRDefault="00802DBC">
      <w:pPr>
        <w:pStyle w:val="FootnoteText"/>
        <w:ind w:firstLine="144"/>
        <w:jc w:val="both"/>
        <w:rPr>
          <w:rFonts w:ascii="Times New Roman" w:hAnsi="Times New Roman" w:cs="Times New Roman"/>
          <w:sz w:val="20"/>
          <w:szCs w:val="20"/>
        </w:rPr>
      </w:pPr>
      <w:r w:rsidRPr="00EF740A">
        <w:rPr>
          <w:rStyle w:val="FootnoteReference"/>
          <w:rFonts w:ascii="Times New Roman" w:hAnsi="Times New Roman" w:cs="Times New Roman"/>
          <w:sz w:val="20"/>
          <w:szCs w:val="20"/>
        </w:rPr>
        <w:footnoteRef/>
      </w:r>
      <w:r w:rsidRPr="00EF740A">
        <w:rPr>
          <w:rFonts w:ascii="Times New Roman" w:hAnsi="Times New Roman" w:cs="Times New Roman"/>
          <w:sz w:val="20"/>
          <w:szCs w:val="20"/>
        </w:rPr>
        <w:t xml:space="preserve"> </w:t>
      </w:r>
      <w:proofErr w:type="spellStart"/>
      <w:r w:rsidRPr="00CA2399">
        <w:rPr>
          <w:rFonts w:ascii="Times New Roman" w:hAnsi="Times New Roman" w:cs="Times New Roman"/>
          <w:sz w:val="20"/>
          <w:szCs w:val="20"/>
        </w:rPr>
        <w:t>Rosoux</w:t>
      </w:r>
      <w:proofErr w:type="spellEnd"/>
      <w:r w:rsidRPr="001200B8">
        <w:rPr>
          <w:rFonts w:ascii="Times New Roman" w:hAnsi="Times New Roman" w:cs="Times New Roman"/>
          <w:sz w:val="20"/>
          <w:szCs w:val="20"/>
        </w:rPr>
        <w:t xml:space="preserve">, </w:t>
      </w:r>
      <w:r w:rsidRPr="001200B8">
        <w:rPr>
          <w:rFonts w:ascii="Times New Roman" w:hAnsi="Times New Roman" w:cs="Times New Roman"/>
          <w:i/>
          <w:iCs/>
          <w:sz w:val="20"/>
          <w:szCs w:val="20"/>
        </w:rPr>
        <w:t xml:space="preserve">supra </w:t>
      </w:r>
      <w:r>
        <w:rPr>
          <w:rFonts w:ascii="Times New Roman" w:hAnsi="Times New Roman" w:cs="Times New Roman"/>
          <w:sz w:val="20"/>
          <w:szCs w:val="20"/>
        </w:rPr>
        <w:t>note 169</w:t>
      </w:r>
      <w:r w:rsidRPr="001200B8">
        <w:rPr>
          <w:rFonts w:ascii="Times New Roman" w:hAnsi="Times New Roman" w:cs="Times New Roman"/>
          <w:sz w:val="20"/>
          <w:szCs w:val="20"/>
        </w:rPr>
        <w:t xml:space="preserve">, at 473. </w:t>
      </w:r>
    </w:p>
  </w:footnote>
  <w:footnote w:id="213">
    <w:p w14:paraId="386FBA63" w14:textId="2531C804" w:rsidR="00802DBC" w:rsidRPr="00EF740A" w:rsidRDefault="00802DBC" w:rsidP="007D67E6">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CA2399">
        <w:rPr>
          <w:rFonts w:asciiTheme="majorBidi" w:hAnsiTheme="majorBidi" w:cstheme="majorBidi"/>
          <w:sz w:val="20"/>
          <w:szCs w:val="20"/>
        </w:rPr>
        <w:t xml:space="preserve">Tim </w:t>
      </w:r>
      <w:proofErr w:type="spellStart"/>
      <w:r w:rsidRPr="00CA2399">
        <w:rPr>
          <w:rFonts w:asciiTheme="majorBidi" w:hAnsiTheme="majorBidi" w:cstheme="majorBidi"/>
          <w:sz w:val="20"/>
          <w:szCs w:val="20"/>
        </w:rPr>
        <w:t>Luccaro</w:t>
      </w:r>
      <w:proofErr w:type="spellEnd"/>
      <w:r w:rsidRPr="00CA2399">
        <w:rPr>
          <w:rFonts w:asciiTheme="majorBidi" w:hAnsiTheme="majorBidi" w:cstheme="majorBidi"/>
          <w:sz w:val="20"/>
          <w:szCs w:val="20"/>
        </w:rPr>
        <w:t xml:space="preserve"> </w:t>
      </w:r>
      <w:r w:rsidR="007D67E6">
        <w:rPr>
          <w:rFonts w:asciiTheme="majorBidi" w:hAnsiTheme="majorBidi" w:cstheme="majorBidi"/>
          <w:sz w:val="20"/>
          <w:szCs w:val="20"/>
        </w:rPr>
        <w:t>&amp;</w:t>
      </w:r>
      <w:r w:rsidRPr="00CA2399">
        <w:rPr>
          <w:rFonts w:asciiTheme="majorBidi" w:hAnsiTheme="majorBidi" w:cstheme="majorBidi"/>
          <w:sz w:val="20"/>
          <w:szCs w:val="20"/>
        </w:rPr>
        <w:t xml:space="preserve"> </w:t>
      </w:r>
      <w:proofErr w:type="spellStart"/>
      <w:r w:rsidRPr="00CA2399">
        <w:rPr>
          <w:rFonts w:asciiTheme="majorBidi" w:hAnsiTheme="majorBidi" w:cstheme="majorBidi"/>
          <w:sz w:val="20"/>
          <w:szCs w:val="20"/>
        </w:rPr>
        <w:t>Sanaulla</w:t>
      </w:r>
      <w:r>
        <w:rPr>
          <w:rFonts w:asciiTheme="majorBidi" w:hAnsiTheme="majorBidi" w:cstheme="majorBidi"/>
          <w:sz w:val="20"/>
          <w:szCs w:val="20"/>
        </w:rPr>
        <w:t>h</w:t>
      </w:r>
      <w:proofErr w:type="spellEnd"/>
      <w:r w:rsidRPr="00CA2399">
        <w:rPr>
          <w:rFonts w:asciiTheme="majorBidi" w:hAnsiTheme="majorBidi" w:cstheme="majorBidi"/>
          <w:sz w:val="20"/>
          <w:szCs w:val="20"/>
        </w:rPr>
        <w:t xml:space="preserve"> </w:t>
      </w:r>
      <w:proofErr w:type="spellStart"/>
      <w:r w:rsidRPr="00CA2399">
        <w:rPr>
          <w:rFonts w:asciiTheme="majorBidi" w:hAnsiTheme="majorBidi" w:cstheme="majorBidi"/>
          <w:sz w:val="20"/>
          <w:szCs w:val="20"/>
        </w:rPr>
        <w:t>Tasal</w:t>
      </w:r>
      <w:proofErr w:type="spellEnd"/>
      <w:r w:rsidRPr="00CA2399">
        <w:rPr>
          <w:rFonts w:asciiTheme="majorBidi" w:hAnsiTheme="majorBidi" w:cstheme="majorBidi"/>
          <w:sz w:val="20"/>
          <w:szCs w:val="20"/>
        </w:rPr>
        <w:t xml:space="preserve">, </w:t>
      </w:r>
      <w:r w:rsidRPr="00DF383F">
        <w:rPr>
          <w:rFonts w:asciiTheme="majorBidi" w:hAnsiTheme="majorBidi" w:cstheme="majorBidi"/>
          <w:i/>
          <w:iCs/>
          <w:sz w:val="20"/>
          <w:szCs w:val="20"/>
        </w:rPr>
        <w:t>Karzai Calls for Meeting to Discus</w:t>
      </w:r>
      <w:r w:rsidR="00940F28">
        <w:rPr>
          <w:rFonts w:asciiTheme="majorBidi" w:hAnsiTheme="majorBidi" w:cstheme="majorBidi"/>
          <w:i/>
          <w:iCs/>
          <w:sz w:val="20"/>
          <w:szCs w:val="20"/>
        </w:rPr>
        <w:t>s U.S.-</w:t>
      </w:r>
      <w:r w:rsidRPr="00DF383F">
        <w:rPr>
          <w:rFonts w:asciiTheme="majorBidi" w:hAnsiTheme="majorBidi" w:cstheme="majorBidi"/>
          <w:i/>
          <w:iCs/>
          <w:sz w:val="20"/>
          <w:szCs w:val="20"/>
        </w:rPr>
        <w:t>Afghan Relationship</w:t>
      </w:r>
      <w:r w:rsidRPr="001200B8">
        <w:rPr>
          <w:rFonts w:asciiTheme="majorBidi" w:hAnsiTheme="majorBidi" w:cstheme="majorBidi"/>
          <w:iCs/>
          <w:sz w:val="20"/>
          <w:szCs w:val="20"/>
        </w:rPr>
        <w:t>,</w:t>
      </w:r>
      <w:r w:rsidRPr="00DF383F">
        <w:rPr>
          <w:rFonts w:asciiTheme="majorBidi" w:hAnsiTheme="majorBidi" w:cstheme="majorBidi"/>
          <w:i/>
          <w:iCs/>
          <w:sz w:val="20"/>
          <w:szCs w:val="20"/>
        </w:rPr>
        <w:t xml:space="preserve"> </w:t>
      </w:r>
      <w:r w:rsidRPr="007B2ECC">
        <w:rPr>
          <w:rFonts w:asciiTheme="majorBidi" w:hAnsiTheme="majorBidi" w:cstheme="majorBidi"/>
          <w:smallCaps/>
          <w:sz w:val="20"/>
          <w:szCs w:val="20"/>
        </w:rPr>
        <w:t>U</w:t>
      </w:r>
      <w:r>
        <w:rPr>
          <w:rFonts w:asciiTheme="majorBidi" w:hAnsiTheme="majorBidi" w:cstheme="majorBidi"/>
          <w:smallCaps/>
          <w:sz w:val="20"/>
          <w:szCs w:val="20"/>
        </w:rPr>
        <w:t>.</w:t>
      </w:r>
      <w:r w:rsidRPr="007B2ECC">
        <w:rPr>
          <w:rFonts w:asciiTheme="majorBidi" w:hAnsiTheme="majorBidi" w:cstheme="majorBidi"/>
          <w:smallCaps/>
          <w:sz w:val="20"/>
          <w:szCs w:val="20"/>
        </w:rPr>
        <w:t xml:space="preserve"> S</w:t>
      </w:r>
      <w:r>
        <w:rPr>
          <w:rFonts w:asciiTheme="majorBidi" w:hAnsiTheme="majorBidi" w:cstheme="majorBidi"/>
          <w:smallCaps/>
          <w:sz w:val="20"/>
          <w:szCs w:val="20"/>
        </w:rPr>
        <w:t>.</w:t>
      </w:r>
      <w:r w:rsidRPr="007B2ECC">
        <w:rPr>
          <w:rFonts w:asciiTheme="majorBidi" w:hAnsiTheme="majorBidi" w:cstheme="majorBidi"/>
          <w:smallCaps/>
          <w:sz w:val="20"/>
          <w:szCs w:val="20"/>
        </w:rPr>
        <w:t xml:space="preserve"> Inst</w:t>
      </w:r>
      <w:r>
        <w:rPr>
          <w:rFonts w:asciiTheme="majorBidi" w:hAnsiTheme="majorBidi" w:cstheme="majorBidi"/>
          <w:smallCaps/>
          <w:sz w:val="20"/>
          <w:szCs w:val="20"/>
        </w:rPr>
        <w:t>.</w:t>
      </w:r>
      <w:r w:rsidRPr="007B2ECC">
        <w:rPr>
          <w:rFonts w:asciiTheme="majorBidi" w:hAnsiTheme="majorBidi" w:cstheme="majorBidi"/>
          <w:smallCaps/>
          <w:sz w:val="20"/>
          <w:szCs w:val="20"/>
        </w:rPr>
        <w:t xml:space="preserve"> Peace</w:t>
      </w:r>
      <w:r>
        <w:rPr>
          <w:rFonts w:asciiTheme="majorBidi" w:hAnsiTheme="majorBidi" w:cstheme="majorBidi"/>
          <w:sz w:val="20"/>
          <w:szCs w:val="20"/>
        </w:rPr>
        <w:t xml:space="preserve"> (Nov. 14, 2011),</w:t>
      </w:r>
      <w:r w:rsidRPr="00102CE6">
        <w:rPr>
          <w:rFonts w:asciiTheme="majorBidi" w:hAnsiTheme="majorBidi" w:cstheme="majorBidi"/>
          <w:sz w:val="20"/>
          <w:szCs w:val="20"/>
        </w:rPr>
        <w:t xml:space="preserve"> http://www.usip.org/publications/karzai-calls-meeting-discuss-us-afghan-relationship#top; Scott Worden, </w:t>
      </w:r>
      <w:r w:rsidRPr="0043061D">
        <w:rPr>
          <w:rFonts w:asciiTheme="majorBidi" w:hAnsiTheme="majorBidi" w:cstheme="majorBidi"/>
          <w:i/>
          <w:iCs/>
          <w:sz w:val="20"/>
          <w:szCs w:val="20"/>
        </w:rPr>
        <w:t xml:space="preserve">The Law and Politics Behind Afghanistan’s “Traditional” </w:t>
      </w:r>
      <w:proofErr w:type="spellStart"/>
      <w:r w:rsidRPr="0043061D">
        <w:rPr>
          <w:rFonts w:asciiTheme="majorBidi" w:hAnsiTheme="majorBidi" w:cstheme="majorBidi"/>
          <w:i/>
          <w:iCs/>
          <w:sz w:val="20"/>
          <w:szCs w:val="20"/>
        </w:rPr>
        <w:t>Loya</w:t>
      </w:r>
      <w:proofErr w:type="spellEnd"/>
      <w:r w:rsidRPr="0043061D">
        <w:rPr>
          <w:rFonts w:asciiTheme="majorBidi" w:hAnsiTheme="majorBidi" w:cstheme="majorBidi"/>
          <w:i/>
          <w:iCs/>
          <w:sz w:val="20"/>
          <w:szCs w:val="20"/>
        </w:rPr>
        <w:t xml:space="preserve"> Jirga</w:t>
      </w:r>
      <w:r w:rsidRPr="00EF740A">
        <w:rPr>
          <w:rFonts w:asciiTheme="majorBidi" w:hAnsiTheme="majorBidi" w:cstheme="majorBidi"/>
          <w:sz w:val="20"/>
          <w:szCs w:val="20"/>
        </w:rPr>
        <w:t xml:space="preserve">, </w:t>
      </w:r>
      <w:r w:rsidRPr="00EF740A">
        <w:rPr>
          <w:rFonts w:asciiTheme="majorBidi" w:hAnsiTheme="majorBidi" w:cstheme="majorBidi"/>
          <w:smallCaps/>
          <w:sz w:val="20"/>
          <w:szCs w:val="20"/>
        </w:rPr>
        <w:t xml:space="preserve">Foreign </w:t>
      </w:r>
      <w:proofErr w:type="spellStart"/>
      <w:r w:rsidRPr="00EF740A">
        <w:rPr>
          <w:rFonts w:asciiTheme="majorBidi" w:hAnsiTheme="majorBidi" w:cstheme="majorBidi"/>
          <w:smallCaps/>
          <w:sz w:val="20"/>
          <w:szCs w:val="20"/>
        </w:rPr>
        <w:t>Pol</w:t>
      </w:r>
      <w:r>
        <w:rPr>
          <w:rFonts w:asciiTheme="majorBidi" w:hAnsiTheme="majorBidi" w:cstheme="majorBidi"/>
          <w:smallCaps/>
          <w:sz w:val="20"/>
          <w:szCs w:val="20"/>
        </w:rPr>
        <w:t>’</w:t>
      </w:r>
      <w:r w:rsidRPr="00EF740A">
        <w:rPr>
          <w:rFonts w:asciiTheme="majorBidi" w:hAnsiTheme="majorBidi" w:cstheme="majorBidi"/>
          <w:smallCaps/>
          <w:sz w:val="20"/>
          <w:szCs w:val="20"/>
        </w:rPr>
        <w:t>y</w:t>
      </w:r>
      <w:proofErr w:type="spellEnd"/>
      <w:r w:rsidRPr="00EF740A">
        <w:rPr>
          <w:rFonts w:asciiTheme="majorBidi" w:hAnsiTheme="majorBidi" w:cstheme="majorBidi"/>
          <w:smallCaps/>
          <w:sz w:val="20"/>
          <w:szCs w:val="20"/>
        </w:rPr>
        <w:t xml:space="preserve"> </w:t>
      </w:r>
      <w:r w:rsidRPr="00EF740A">
        <w:rPr>
          <w:rFonts w:asciiTheme="majorBidi" w:hAnsiTheme="majorBidi" w:cstheme="majorBidi"/>
          <w:sz w:val="20"/>
          <w:szCs w:val="20"/>
        </w:rPr>
        <w:t xml:space="preserve">(Nov. 15, 2011) http://foreignpolicy.com/2011/11/15/the-law-and-politics-behind-afghanistans-traditional-loya-jirga/; </w:t>
      </w:r>
      <w:r w:rsidRPr="00EF740A">
        <w:rPr>
          <w:rFonts w:asciiTheme="majorBidi" w:hAnsiTheme="majorBidi" w:cstheme="majorBidi"/>
          <w:iCs/>
          <w:sz w:val="20"/>
          <w:szCs w:val="20"/>
        </w:rPr>
        <w:t xml:space="preserve">Thomas </w:t>
      </w:r>
      <w:proofErr w:type="spellStart"/>
      <w:r w:rsidRPr="00EF740A">
        <w:rPr>
          <w:rFonts w:asciiTheme="majorBidi" w:hAnsiTheme="majorBidi" w:cstheme="majorBidi"/>
          <w:iCs/>
          <w:sz w:val="20"/>
          <w:szCs w:val="20"/>
        </w:rPr>
        <w:t>Ruttig</w:t>
      </w:r>
      <w:proofErr w:type="spellEnd"/>
      <w:r w:rsidRPr="00EF740A">
        <w:rPr>
          <w:rFonts w:asciiTheme="majorBidi" w:hAnsiTheme="majorBidi" w:cstheme="majorBidi"/>
          <w:iCs/>
          <w:sz w:val="20"/>
          <w:szCs w:val="20"/>
        </w:rPr>
        <w:t xml:space="preserve">, </w:t>
      </w:r>
      <w:r w:rsidRPr="00EF740A">
        <w:rPr>
          <w:rFonts w:asciiTheme="majorBidi" w:hAnsiTheme="majorBidi" w:cstheme="majorBidi"/>
          <w:i/>
          <w:sz w:val="20"/>
          <w:szCs w:val="20"/>
        </w:rPr>
        <w:t>The Upcoming Jirga: An Agenda with Possible Backdoors</w:t>
      </w:r>
      <w:r w:rsidRPr="00445C4C">
        <w:rPr>
          <w:rFonts w:asciiTheme="majorBidi" w:hAnsiTheme="majorBidi" w:cstheme="majorBidi"/>
          <w:sz w:val="20"/>
          <w:szCs w:val="20"/>
        </w:rPr>
        <w:t>,</w:t>
      </w:r>
      <w:r w:rsidRPr="00EF740A">
        <w:rPr>
          <w:rFonts w:asciiTheme="majorBidi" w:hAnsiTheme="majorBidi" w:cstheme="majorBidi"/>
          <w:iCs/>
          <w:sz w:val="20"/>
          <w:szCs w:val="20"/>
        </w:rPr>
        <w:t xml:space="preserve"> </w:t>
      </w:r>
      <w:r w:rsidRPr="00EF740A">
        <w:rPr>
          <w:rFonts w:asciiTheme="majorBidi" w:hAnsiTheme="majorBidi" w:cstheme="majorBidi"/>
          <w:iCs/>
          <w:smallCaps/>
          <w:sz w:val="20"/>
          <w:szCs w:val="20"/>
        </w:rPr>
        <w:t>Afg</w:t>
      </w:r>
      <w:r>
        <w:rPr>
          <w:rFonts w:asciiTheme="majorBidi" w:hAnsiTheme="majorBidi" w:cstheme="majorBidi"/>
          <w:iCs/>
          <w:smallCaps/>
          <w:sz w:val="20"/>
          <w:szCs w:val="20"/>
        </w:rPr>
        <w:t>.</w:t>
      </w:r>
      <w:r w:rsidRPr="00EF740A">
        <w:rPr>
          <w:rFonts w:asciiTheme="majorBidi" w:hAnsiTheme="majorBidi" w:cstheme="majorBidi"/>
          <w:iCs/>
          <w:smallCaps/>
          <w:sz w:val="20"/>
          <w:szCs w:val="20"/>
        </w:rPr>
        <w:t xml:space="preserve"> Analysts Network</w:t>
      </w:r>
      <w:r w:rsidRPr="00EF740A">
        <w:rPr>
          <w:rFonts w:asciiTheme="majorBidi" w:hAnsiTheme="majorBidi" w:cstheme="majorBidi"/>
          <w:iCs/>
          <w:sz w:val="20"/>
          <w:szCs w:val="20"/>
        </w:rPr>
        <w:t xml:space="preserve"> (Nov. 4, 2011)</w:t>
      </w:r>
      <w:r>
        <w:rPr>
          <w:rFonts w:asciiTheme="majorBidi" w:hAnsiTheme="majorBidi" w:cstheme="majorBidi"/>
          <w:iCs/>
          <w:sz w:val="20"/>
          <w:szCs w:val="20"/>
        </w:rPr>
        <w:t>,</w:t>
      </w:r>
      <w:r w:rsidRPr="00EF740A">
        <w:rPr>
          <w:rFonts w:asciiTheme="majorBidi" w:hAnsiTheme="majorBidi" w:cstheme="majorBidi"/>
          <w:iCs/>
          <w:sz w:val="20"/>
          <w:szCs w:val="20"/>
        </w:rPr>
        <w:t xml:space="preserve"> http://www.afghanistan-analysts.org/the-upcoming-jirga-an-agenda-with-possible-backdoors/.</w:t>
      </w:r>
    </w:p>
  </w:footnote>
  <w:footnote w:id="214">
    <w:p w14:paraId="0C0A6936" w14:textId="7D76E77F" w:rsidR="00802DBC" w:rsidRPr="006B4D4E" w:rsidRDefault="00802DBC" w:rsidP="006B4D4E">
      <w:pPr>
        <w:pStyle w:val="FootnoteText"/>
        <w:ind w:firstLine="144"/>
        <w:jc w:val="both"/>
        <w:rPr>
          <w:rFonts w:asciiTheme="majorBidi" w:hAnsiTheme="majorBidi" w:cstheme="majorBidi"/>
          <w:iCs/>
          <w:sz w:val="20"/>
          <w:szCs w:val="20"/>
        </w:rPr>
      </w:pPr>
      <w:r w:rsidRPr="00EF740A">
        <w:rPr>
          <w:rStyle w:val="FootnoteReference"/>
          <w:rFonts w:asciiTheme="majorBidi" w:hAnsiTheme="majorBidi" w:cstheme="majorBidi"/>
          <w:sz w:val="20"/>
          <w:szCs w:val="20"/>
        </w:rPr>
        <w:footnoteRef/>
      </w:r>
      <w:r>
        <w:rPr>
          <w:rFonts w:asciiTheme="majorBidi" w:hAnsiTheme="majorBidi" w:cstheme="majorBidi"/>
          <w:sz w:val="20"/>
          <w:szCs w:val="20"/>
        </w:rPr>
        <w:t xml:space="preserve"> </w:t>
      </w:r>
      <w:proofErr w:type="spellStart"/>
      <w:r w:rsidR="006B4D4E">
        <w:rPr>
          <w:rFonts w:asciiTheme="majorBidi" w:hAnsiTheme="majorBidi" w:cstheme="majorBidi"/>
          <w:iCs/>
          <w:sz w:val="20"/>
          <w:szCs w:val="20"/>
        </w:rPr>
        <w:t>Ruttig</w:t>
      </w:r>
      <w:proofErr w:type="spellEnd"/>
      <w:r w:rsidR="006B4D4E">
        <w:rPr>
          <w:rFonts w:asciiTheme="majorBidi" w:hAnsiTheme="majorBidi" w:cstheme="majorBidi"/>
          <w:iCs/>
          <w:sz w:val="20"/>
          <w:szCs w:val="20"/>
        </w:rPr>
        <w:t xml:space="preserve">, </w:t>
      </w:r>
      <w:r w:rsidR="006B4D4E">
        <w:rPr>
          <w:rFonts w:asciiTheme="majorBidi" w:hAnsiTheme="majorBidi" w:cstheme="majorBidi"/>
          <w:i/>
          <w:sz w:val="20"/>
          <w:szCs w:val="20"/>
        </w:rPr>
        <w:t>supra</w:t>
      </w:r>
      <w:r w:rsidR="006B4D4E">
        <w:rPr>
          <w:rFonts w:asciiTheme="majorBidi" w:hAnsiTheme="majorBidi" w:cstheme="majorBidi"/>
          <w:iCs/>
          <w:sz w:val="20"/>
          <w:szCs w:val="20"/>
        </w:rPr>
        <w:t xml:space="preserve"> notes 212.</w:t>
      </w:r>
    </w:p>
  </w:footnote>
  <w:footnote w:id="215">
    <w:p w14:paraId="64874879" w14:textId="10DAE8AD" w:rsidR="00802DBC" w:rsidRPr="001200B8" w:rsidRDefault="00802DBC" w:rsidP="001200B8">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CA2399">
        <w:rPr>
          <w:rFonts w:asciiTheme="majorBidi" w:hAnsiTheme="majorBidi" w:cstheme="majorBidi"/>
          <w:sz w:val="20"/>
          <w:szCs w:val="20"/>
        </w:rPr>
        <w:t>At the time this note was written, the Afghan government was still engaged in this process.</w:t>
      </w:r>
      <w:r>
        <w:rPr>
          <w:rFonts w:asciiTheme="majorBidi" w:hAnsiTheme="majorBidi" w:cstheme="majorBidi"/>
          <w:sz w:val="20"/>
          <w:szCs w:val="20"/>
        </w:rPr>
        <w:t xml:space="preserve"> </w:t>
      </w:r>
      <w:r w:rsidR="006B4D4E">
        <w:rPr>
          <w:rFonts w:asciiTheme="majorBidi" w:hAnsiTheme="majorBidi" w:cstheme="majorBidi"/>
          <w:sz w:val="20"/>
          <w:szCs w:val="20"/>
        </w:rPr>
        <w:t xml:space="preserve"> </w:t>
      </w:r>
      <w:r w:rsidRPr="001200B8">
        <w:rPr>
          <w:rFonts w:asciiTheme="majorBidi" w:hAnsiTheme="majorBidi" w:cstheme="majorBidi"/>
          <w:i/>
          <w:iCs/>
          <w:sz w:val="20"/>
          <w:szCs w:val="20"/>
        </w:rPr>
        <w:t>See</w:t>
      </w:r>
      <w:r w:rsidRPr="001200B8">
        <w:rPr>
          <w:rFonts w:asciiTheme="majorBidi" w:hAnsiTheme="majorBidi" w:cstheme="majorBidi"/>
          <w:sz w:val="20"/>
          <w:szCs w:val="20"/>
        </w:rPr>
        <w:t xml:space="preserve"> </w:t>
      </w:r>
      <w:proofErr w:type="spellStart"/>
      <w:r w:rsidRPr="001200B8">
        <w:rPr>
          <w:rFonts w:asciiTheme="majorBidi" w:hAnsiTheme="majorBidi" w:cstheme="majorBidi"/>
          <w:sz w:val="20"/>
          <w:szCs w:val="20"/>
        </w:rPr>
        <w:t>Hashmat</w:t>
      </w:r>
      <w:proofErr w:type="spellEnd"/>
      <w:r w:rsidRPr="001200B8">
        <w:rPr>
          <w:rFonts w:asciiTheme="majorBidi" w:hAnsiTheme="majorBidi" w:cstheme="majorBidi"/>
          <w:sz w:val="20"/>
          <w:szCs w:val="20"/>
        </w:rPr>
        <w:t xml:space="preserve"> </w:t>
      </w:r>
      <w:proofErr w:type="spellStart"/>
      <w:r w:rsidRPr="001200B8">
        <w:rPr>
          <w:rFonts w:asciiTheme="majorBidi" w:hAnsiTheme="majorBidi" w:cstheme="majorBidi"/>
          <w:sz w:val="20"/>
          <w:szCs w:val="20"/>
        </w:rPr>
        <w:t>Moslih</w:t>
      </w:r>
      <w:proofErr w:type="spellEnd"/>
      <w:r w:rsidRPr="001200B8">
        <w:rPr>
          <w:rFonts w:asciiTheme="majorBidi" w:hAnsiTheme="majorBidi" w:cstheme="majorBidi"/>
          <w:sz w:val="20"/>
          <w:szCs w:val="20"/>
        </w:rPr>
        <w:t xml:space="preserve">, </w:t>
      </w:r>
      <w:r w:rsidRPr="001200B8">
        <w:rPr>
          <w:rFonts w:asciiTheme="majorBidi" w:hAnsiTheme="majorBidi" w:cstheme="majorBidi"/>
          <w:i/>
          <w:iCs/>
          <w:sz w:val="20"/>
          <w:szCs w:val="20"/>
        </w:rPr>
        <w:t xml:space="preserve">The Taliban and </w:t>
      </w:r>
      <w:r w:rsidR="00940F28">
        <w:rPr>
          <w:rFonts w:asciiTheme="majorBidi" w:hAnsiTheme="majorBidi" w:cstheme="majorBidi"/>
          <w:i/>
          <w:iCs/>
          <w:sz w:val="20"/>
          <w:szCs w:val="20"/>
        </w:rPr>
        <w:t>O</w:t>
      </w:r>
      <w:r w:rsidRPr="001200B8">
        <w:rPr>
          <w:rFonts w:asciiTheme="majorBidi" w:hAnsiTheme="majorBidi" w:cstheme="majorBidi"/>
          <w:i/>
          <w:iCs/>
          <w:sz w:val="20"/>
          <w:szCs w:val="20"/>
        </w:rPr>
        <w:t xml:space="preserve">bstacles to Afghanistan </w:t>
      </w:r>
      <w:r w:rsidR="00940F28">
        <w:rPr>
          <w:rFonts w:asciiTheme="majorBidi" w:hAnsiTheme="majorBidi" w:cstheme="majorBidi"/>
          <w:i/>
          <w:iCs/>
          <w:sz w:val="20"/>
          <w:szCs w:val="20"/>
        </w:rPr>
        <w:t>P</w:t>
      </w:r>
      <w:r w:rsidRPr="001200B8">
        <w:rPr>
          <w:rFonts w:asciiTheme="majorBidi" w:hAnsiTheme="majorBidi" w:cstheme="majorBidi"/>
          <w:i/>
          <w:iCs/>
          <w:sz w:val="20"/>
          <w:szCs w:val="20"/>
        </w:rPr>
        <w:t xml:space="preserve">eace </w:t>
      </w:r>
      <w:r w:rsidR="00940F28">
        <w:rPr>
          <w:rFonts w:asciiTheme="majorBidi" w:hAnsiTheme="majorBidi" w:cstheme="majorBidi"/>
          <w:i/>
          <w:iCs/>
          <w:sz w:val="20"/>
          <w:szCs w:val="20"/>
        </w:rPr>
        <w:t>T</w:t>
      </w:r>
      <w:r w:rsidRPr="001200B8">
        <w:rPr>
          <w:rFonts w:asciiTheme="majorBidi" w:hAnsiTheme="majorBidi" w:cstheme="majorBidi"/>
          <w:i/>
          <w:iCs/>
          <w:sz w:val="20"/>
          <w:szCs w:val="20"/>
        </w:rPr>
        <w:t>alks</w:t>
      </w:r>
      <w:r w:rsidRPr="001200B8">
        <w:rPr>
          <w:rFonts w:asciiTheme="majorBidi" w:hAnsiTheme="majorBidi" w:cstheme="majorBidi"/>
          <w:sz w:val="20"/>
          <w:szCs w:val="20"/>
        </w:rPr>
        <w:t xml:space="preserve">, </w:t>
      </w:r>
      <w:r w:rsidRPr="001200B8">
        <w:rPr>
          <w:rFonts w:asciiTheme="majorBidi" w:hAnsiTheme="majorBidi" w:cstheme="majorBidi"/>
          <w:smallCaps/>
          <w:sz w:val="20"/>
          <w:szCs w:val="20"/>
        </w:rPr>
        <w:t>Al Jazeera English</w:t>
      </w:r>
      <w:r w:rsidRPr="001200B8">
        <w:rPr>
          <w:rFonts w:asciiTheme="majorBidi" w:hAnsiTheme="majorBidi" w:cstheme="majorBidi"/>
          <w:sz w:val="20"/>
          <w:szCs w:val="20"/>
        </w:rPr>
        <w:t xml:space="preserve"> (Feb. 25, 2016)</w:t>
      </w:r>
      <w:r>
        <w:rPr>
          <w:rFonts w:asciiTheme="majorBidi" w:hAnsiTheme="majorBidi" w:cstheme="majorBidi"/>
          <w:sz w:val="20"/>
          <w:szCs w:val="20"/>
        </w:rPr>
        <w:t>,</w:t>
      </w:r>
      <w:r w:rsidRPr="001200B8">
        <w:rPr>
          <w:rFonts w:asciiTheme="majorBidi" w:hAnsiTheme="majorBidi" w:cstheme="majorBidi"/>
          <w:sz w:val="20"/>
          <w:szCs w:val="20"/>
        </w:rPr>
        <w:t xml:space="preserve"> http://www.aljazeera.com/indepth/features/2016/02/taliban-obstacles-afghanistan-peace-talks-160225095920107.html; U.N. GAOR, 71</w:t>
      </w:r>
      <w:r w:rsidRPr="001200B8">
        <w:rPr>
          <w:rFonts w:asciiTheme="majorBidi" w:hAnsiTheme="majorBidi" w:cstheme="majorBidi"/>
          <w:sz w:val="20"/>
          <w:szCs w:val="20"/>
          <w:vertAlign w:val="superscript"/>
        </w:rPr>
        <w:t>st</w:t>
      </w:r>
      <w:r w:rsidRPr="001200B8">
        <w:rPr>
          <w:rFonts w:asciiTheme="majorBidi" w:hAnsiTheme="majorBidi" w:cstheme="majorBidi"/>
          <w:sz w:val="20"/>
          <w:szCs w:val="20"/>
        </w:rPr>
        <w:t xml:space="preserve"> Sess., 47</w:t>
      </w:r>
      <w:r w:rsidRPr="001200B8">
        <w:rPr>
          <w:rFonts w:asciiTheme="majorBidi" w:hAnsiTheme="majorBidi" w:cstheme="majorBidi"/>
          <w:sz w:val="20"/>
          <w:szCs w:val="20"/>
          <w:vertAlign w:val="superscript"/>
        </w:rPr>
        <w:t>th</w:t>
      </w:r>
      <w:r w:rsidRPr="001200B8">
        <w:rPr>
          <w:rFonts w:asciiTheme="majorBidi" w:hAnsiTheme="majorBidi" w:cstheme="majorBidi"/>
          <w:sz w:val="20"/>
          <w:szCs w:val="20"/>
        </w:rPr>
        <w:t xml:space="preserve"> </w:t>
      </w:r>
      <w:proofErr w:type="spellStart"/>
      <w:r w:rsidRPr="001200B8">
        <w:rPr>
          <w:rFonts w:asciiTheme="majorBidi" w:hAnsiTheme="majorBidi" w:cstheme="majorBidi"/>
          <w:sz w:val="20"/>
          <w:szCs w:val="20"/>
        </w:rPr>
        <w:t>plen</w:t>
      </w:r>
      <w:proofErr w:type="spellEnd"/>
      <w:r w:rsidRPr="001200B8">
        <w:rPr>
          <w:rFonts w:asciiTheme="majorBidi" w:hAnsiTheme="majorBidi" w:cstheme="majorBidi"/>
          <w:sz w:val="20"/>
          <w:szCs w:val="20"/>
        </w:rPr>
        <w:t>. mtg. at GA/11858 (Nov. 17, 2016).</w:t>
      </w:r>
    </w:p>
  </w:footnote>
  <w:footnote w:id="216">
    <w:p w14:paraId="05ECAF44" w14:textId="4E6CF921" w:rsidR="00802DBC" w:rsidRPr="00EF740A" w:rsidRDefault="00802DBC" w:rsidP="00111B01">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CA2399">
        <w:rPr>
          <w:rFonts w:asciiTheme="majorBidi" w:hAnsiTheme="majorBidi" w:cstheme="majorBidi"/>
          <w:sz w:val="20"/>
          <w:szCs w:val="20"/>
        </w:rPr>
        <w:t>Frequently, the goal of such negotiations is to reach a compromise.  Negotiations are more succe</w:t>
      </w:r>
      <w:r w:rsidRPr="00DF383F">
        <w:rPr>
          <w:rFonts w:asciiTheme="majorBidi" w:hAnsiTheme="majorBidi" w:cstheme="majorBidi"/>
          <w:sz w:val="20"/>
          <w:szCs w:val="20"/>
        </w:rPr>
        <w:t xml:space="preserve">ssful when the parties are willing to compromise.  </w:t>
      </w:r>
      <w:r w:rsidRPr="007B2ECC">
        <w:rPr>
          <w:rFonts w:asciiTheme="majorBidi" w:hAnsiTheme="majorBidi" w:cstheme="majorBidi"/>
          <w:i/>
          <w:iCs/>
          <w:sz w:val="20"/>
          <w:szCs w:val="20"/>
        </w:rPr>
        <w:t>S</w:t>
      </w:r>
      <w:r w:rsidRPr="00102CE6">
        <w:rPr>
          <w:rFonts w:asciiTheme="majorBidi" w:hAnsiTheme="majorBidi" w:cstheme="majorBidi"/>
          <w:i/>
          <w:iCs/>
          <w:sz w:val="20"/>
          <w:szCs w:val="20"/>
        </w:rPr>
        <w:t>ee</w:t>
      </w:r>
      <w:r w:rsidRPr="00102CE6">
        <w:rPr>
          <w:rFonts w:asciiTheme="majorBidi" w:hAnsiTheme="majorBidi" w:cstheme="majorBidi"/>
          <w:sz w:val="20"/>
          <w:szCs w:val="20"/>
        </w:rPr>
        <w:t xml:space="preserve"> Susan M. </w:t>
      </w:r>
      <w:proofErr w:type="spellStart"/>
      <w:r w:rsidRPr="00102CE6">
        <w:rPr>
          <w:rFonts w:asciiTheme="majorBidi" w:hAnsiTheme="majorBidi" w:cstheme="majorBidi"/>
          <w:sz w:val="20"/>
          <w:szCs w:val="20"/>
        </w:rPr>
        <w:t>Chesler</w:t>
      </w:r>
      <w:proofErr w:type="spellEnd"/>
      <w:r w:rsidRPr="00102CE6">
        <w:rPr>
          <w:rFonts w:asciiTheme="majorBidi" w:hAnsiTheme="majorBidi" w:cstheme="majorBidi"/>
          <w:sz w:val="20"/>
          <w:szCs w:val="20"/>
        </w:rPr>
        <w:t xml:space="preserve">, </w:t>
      </w:r>
      <w:r w:rsidRPr="00EF740A">
        <w:rPr>
          <w:rFonts w:asciiTheme="majorBidi" w:hAnsiTheme="majorBidi" w:cstheme="majorBidi"/>
          <w:i/>
          <w:iCs/>
          <w:sz w:val="20"/>
          <w:szCs w:val="20"/>
        </w:rPr>
        <w:t>An Introduction to Negotiations for Future Transactional Lawyers</w:t>
      </w:r>
      <w:r w:rsidRPr="00EF740A">
        <w:rPr>
          <w:rFonts w:asciiTheme="majorBidi" w:hAnsiTheme="majorBidi" w:cstheme="majorBidi"/>
          <w:sz w:val="20"/>
          <w:szCs w:val="20"/>
        </w:rPr>
        <w:t xml:space="preserve">, </w:t>
      </w:r>
      <w:r w:rsidRPr="00EF740A">
        <w:rPr>
          <w:rFonts w:asciiTheme="majorBidi" w:hAnsiTheme="majorBidi" w:cstheme="majorBidi"/>
          <w:smallCaps/>
          <w:sz w:val="20"/>
          <w:szCs w:val="20"/>
        </w:rPr>
        <w:t>Bus. L. Today</w:t>
      </w:r>
      <w:r w:rsidRPr="00EF740A">
        <w:rPr>
          <w:rFonts w:asciiTheme="majorBidi" w:hAnsiTheme="majorBidi" w:cstheme="majorBidi"/>
          <w:sz w:val="20"/>
          <w:szCs w:val="20"/>
        </w:rPr>
        <w:t xml:space="preserve"> (Apr. 2011)</w:t>
      </w:r>
      <w:r>
        <w:rPr>
          <w:rFonts w:asciiTheme="majorBidi" w:hAnsiTheme="majorBidi" w:cstheme="majorBidi"/>
          <w:sz w:val="20"/>
          <w:szCs w:val="20"/>
        </w:rPr>
        <w:t xml:space="preserve">, </w:t>
      </w:r>
      <w:r w:rsidRPr="00111B01">
        <w:rPr>
          <w:rFonts w:asciiTheme="majorBidi" w:hAnsiTheme="majorBidi" w:cstheme="majorBidi"/>
          <w:sz w:val="20"/>
          <w:szCs w:val="20"/>
        </w:rPr>
        <w:t>https://www.americanbar.org/publications/blt/2011/04/training_tomorrow.html</w:t>
      </w:r>
      <w:r>
        <w:rPr>
          <w:rFonts w:asciiTheme="majorBidi" w:hAnsiTheme="majorBidi" w:cstheme="majorBidi"/>
          <w:sz w:val="20"/>
          <w:szCs w:val="20"/>
        </w:rPr>
        <w:t>.</w:t>
      </w:r>
    </w:p>
  </w:footnote>
  <w:footnote w:id="217">
    <w:p w14:paraId="09525DD2" w14:textId="1998C560" w:rsidR="00802DBC" w:rsidRPr="00102CE6" w:rsidRDefault="00802DBC" w:rsidP="00C4549B">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Pr>
          <w:rFonts w:ascii="Times New Roman" w:hAnsi="Times New Roman" w:cs="Times New Roman"/>
          <w:sz w:val="20"/>
          <w:szCs w:val="20"/>
        </w:rPr>
        <w:t>U.N.</w:t>
      </w:r>
      <w:r w:rsidRPr="00CA2399">
        <w:rPr>
          <w:rFonts w:ascii="Times New Roman" w:hAnsi="Times New Roman" w:cs="Times New Roman"/>
          <w:sz w:val="20"/>
          <w:szCs w:val="20"/>
        </w:rPr>
        <w:t xml:space="preserve"> Framework of Analysis, </w:t>
      </w:r>
      <w:r w:rsidRPr="00DF383F">
        <w:rPr>
          <w:rFonts w:ascii="Times New Roman" w:hAnsi="Times New Roman" w:cs="Times New Roman"/>
          <w:i/>
          <w:iCs/>
          <w:sz w:val="20"/>
          <w:szCs w:val="20"/>
        </w:rPr>
        <w:t xml:space="preserve">supra </w:t>
      </w:r>
      <w:r>
        <w:rPr>
          <w:rFonts w:ascii="Times New Roman" w:hAnsi="Times New Roman" w:cs="Times New Roman"/>
          <w:sz w:val="20"/>
          <w:szCs w:val="20"/>
        </w:rPr>
        <w:t>note 19</w:t>
      </w:r>
      <w:r w:rsidRPr="007B2ECC">
        <w:rPr>
          <w:rFonts w:ascii="Times New Roman" w:hAnsi="Times New Roman" w:cs="Times New Roman"/>
          <w:sz w:val="20"/>
          <w:szCs w:val="20"/>
        </w:rPr>
        <w:t xml:space="preserve">. </w:t>
      </w:r>
    </w:p>
  </w:footnote>
  <w:footnote w:id="218">
    <w:p w14:paraId="472CC8C5" w14:textId="459E544F" w:rsidR="00802DBC" w:rsidRPr="007B2ECC" w:rsidRDefault="00802DBC" w:rsidP="00C4549B">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DF383F">
        <w:rPr>
          <w:rFonts w:asciiTheme="majorBidi" w:hAnsiTheme="majorBidi" w:cstheme="majorBidi"/>
          <w:i/>
          <w:iCs/>
          <w:sz w:val="20"/>
          <w:szCs w:val="20"/>
        </w:rPr>
        <w:t>Id</w:t>
      </w:r>
      <w:r w:rsidRPr="007B2ECC">
        <w:rPr>
          <w:rFonts w:asciiTheme="majorBidi" w:hAnsiTheme="majorBidi" w:cstheme="majorBidi"/>
          <w:sz w:val="20"/>
          <w:szCs w:val="20"/>
        </w:rPr>
        <w:t xml:space="preserve">. </w:t>
      </w:r>
    </w:p>
  </w:footnote>
  <w:footnote w:id="219">
    <w:p w14:paraId="3308E0BE" w14:textId="129E1535" w:rsidR="00802DBC" w:rsidRPr="00CA2399" w:rsidRDefault="00802DBC" w:rsidP="00C4549B">
      <w:pPr>
        <w:pStyle w:val="FootnoteText"/>
        <w:ind w:firstLine="144"/>
        <w:jc w:val="both"/>
        <w:rPr>
          <w:rFonts w:asciiTheme="majorBidi" w:hAnsiTheme="majorBidi" w:cstheme="majorBidi"/>
          <w: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CA2399">
        <w:rPr>
          <w:rFonts w:asciiTheme="majorBidi" w:hAnsiTheme="majorBidi" w:cstheme="majorBidi"/>
          <w:i/>
          <w:sz w:val="20"/>
          <w:szCs w:val="20"/>
        </w:rPr>
        <w:t>Id</w:t>
      </w:r>
      <w:r w:rsidRPr="00445C4C">
        <w:rPr>
          <w:rFonts w:asciiTheme="majorBidi" w:hAnsiTheme="majorBidi" w:cstheme="majorBidi"/>
          <w:sz w:val="20"/>
          <w:szCs w:val="20"/>
        </w:rPr>
        <w:t>.</w:t>
      </w:r>
      <w:r w:rsidRPr="00CA2399">
        <w:rPr>
          <w:rFonts w:asciiTheme="majorBidi" w:hAnsiTheme="majorBidi" w:cstheme="majorBidi"/>
          <w:i/>
          <w:sz w:val="20"/>
          <w:szCs w:val="20"/>
        </w:rPr>
        <w:t xml:space="preserve"> </w:t>
      </w:r>
    </w:p>
  </w:footnote>
  <w:footnote w:id="220">
    <w:p w14:paraId="3006E42A" w14:textId="12EDCF03" w:rsidR="00802DBC" w:rsidRPr="00DF383F" w:rsidRDefault="00802DBC" w:rsidP="00C4549B">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CA2399">
        <w:rPr>
          <w:rFonts w:asciiTheme="majorBidi" w:hAnsiTheme="majorBidi" w:cstheme="majorBidi"/>
          <w:i/>
          <w:iCs/>
          <w:sz w:val="20"/>
          <w:szCs w:val="20"/>
        </w:rPr>
        <w:t>Id</w:t>
      </w:r>
      <w:r w:rsidRPr="00DF383F">
        <w:rPr>
          <w:rFonts w:asciiTheme="majorBidi" w:hAnsiTheme="majorBidi" w:cstheme="majorBidi"/>
          <w:sz w:val="20"/>
          <w:szCs w:val="20"/>
        </w:rPr>
        <w:t xml:space="preserve">. </w:t>
      </w:r>
    </w:p>
  </w:footnote>
  <w:footnote w:id="221">
    <w:p w14:paraId="7485E742" w14:textId="09093567" w:rsidR="00802DBC" w:rsidRPr="00CA2399" w:rsidRDefault="00802DBC" w:rsidP="00F601A2">
      <w:pPr>
        <w:pStyle w:val="FootnoteText"/>
        <w:ind w:firstLine="144"/>
        <w:jc w:val="both"/>
        <w:rPr>
          <w:rFonts w:asciiTheme="majorBidi" w:hAnsiTheme="majorBidi" w:cstheme="majorBidi"/>
          <w:i/>
          <w:iCs/>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CA2399">
        <w:rPr>
          <w:rFonts w:asciiTheme="majorBidi" w:hAnsiTheme="majorBidi" w:cstheme="majorBidi"/>
          <w:i/>
          <w:iCs/>
          <w:sz w:val="20"/>
          <w:szCs w:val="20"/>
        </w:rPr>
        <w:t>Id.</w:t>
      </w:r>
    </w:p>
  </w:footnote>
  <w:footnote w:id="222">
    <w:p w14:paraId="41F9C493" w14:textId="2BEBA181" w:rsidR="00802DBC" w:rsidRPr="00DF383F" w:rsidRDefault="00802DBC" w:rsidP="00F601A2">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CA2399">
        <w:rPr>
          <w:rFonts w:asciiTheme="majorBidi" w:hAnsiTheme="majorBidi" w:cstheme="majorBidi"/>
          <w:i/>
          <w:iCs/>
          <w:sz w:val="20"/>
          <w:szCs w:val="20"/>
        </w:rPr>
        <w:t>Id</w:t>
      </w:r>
      <w:r w:rsidRPr="00DF383F">
        <w:rPr>
          <w:rFonts w:asciiTheme="majorBidi" w:hAnsiTheme="majorBidi" w:cstheme="majorBidi"/>
          <w:sz w:val="20"/>
          <w:szCs w:val="20"/>
        </w:rPr>
        <w:t>.</w:t>
      </w:r>
    </w:p>
  </w:footnote>
  <w:footnote w:id="223">
    <w:p w14:paraId="01C717DE" w14:textId="28423304" w:rsidR="00802DBC" w:rsidRPr="00111B01" w:rsidRDefault="00802DBC" w:rsidP="00F601A2">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111B01">
        <w:rPr>
          <w:rFonts w:asciiTheme="majorBidi" w:hAnsiTheme="majorBidi" w:cstheme="majorBidi"/>
          <w:i/>
          <w:iCs/>
          <w:sz w:val="20"/>
          <w:szCs w:val="20"/>
        </w:rPr>
        <w:t>See</w:t>
      </w:r>
      <w:r w:rsidRPr="00111B01">
        <w:rPr>
          <w:rFonts w:asciiTheme="majorBidi" w:hAnsiTheme="majorBidi" w:cstheme="majorBidi"/>
          <w:sz w:val="20"/>
          <w:szCs w:val="20"/>
        </w:rPr>
        <w:t xml:space="preserve"> Section II (C), </w:t>
      </w:r>
      <w:r w:rsidR="00EC2585">
        <w:rPr>
          <w:rFonts w:asciiTheme="majorBidi" w:hAnsiTheme="majorBidi" w:cstheme="majorBidi"/>
          <w:i/>
          <w:iCs/>
          <w:sz w:val="20"/>
          <w:szCs w:val="20"/>
        </w:rPr>
        <w:t>see also</w:t>
      </w:r>
      <w:r w:rsidRPr="00111B01">
        <w:rPr>
          <w:rFonts w:asciiTheme="majorBidi" w:hAnsiTheme="majorBidi" w:cstheme="majorBidi"/>
          <w:sz w:val="20"/>
          <w:szCs w:val="20"/>
        </w:rPr>
        <w:t xml:space="preserve"> Rome Statute</w:t>
      </w:r>
      <w:r>
        <w:rPr>
          <w:rFonts w:asciiTheme="majorBidi" w:hAnsiTheme="majorBidi" w:cstheme="majorBidi"/>
          <w:sz w:val="20"/>
          <w:szCs w:val="20"/>
        </w:rPr>
        <w:t>, supra note 3.</w:t>
      </w:r>
    </w:p>
  </w:footnote>
  <w:footnote w:id="224">
    <w:p w14:paraId="5F8DD9FE" w14:textId="0A72C74E" w:rsidR="00802DBC" w:rsidRPr="00445C4C" w:rsidRDefault="00802DBC" w:rsidP="009C704A">
      <w:pPr>
        <w:pStyle w:val="FootnoteText"/>
        <w:ind w:firstLine="144"/>
        <w:jc w:val="both"/>
        <w:rPr>
          <w:rFonts w:ascii="Times New Roman" w:hAnsi="Times New Roman" w:cs="Times New Roman"/>
          <w:sz w:val="20"/>
          <w:szCs w:val="20"/>
        </w:rPr>
      </w:pPr>
      <w:r w:rsidRPr="00445C4C">
        <w:rPr>
          <w:rStyle w:val="FootnoteReference"/>
          <w:rFonts w:ascii="Times New Roman" w:hAnsi="Times New Roman" w:cs="Times New Roman"/>
          <w:sz w:val="20"/>
          <w:szCs w:val="20"/>
        </w:rPr>
        <w:footnoteRef/>
      </w:r>
      <w:r w:rsidRPr="00445C4C">
        <w:rPr>
          <w:rFonts w:ascii="Times New Roman" w:hAnsi="Times New Roman" w:cs="Times New Roman"/>
          <w:sz w:val="20"/>
          <w:szCs w:val="20"/>
        </w:rPr>
        <w:t xml:space="preserve"> </w:t>
      </w:r>
      <w:r w:rsidRPr="00445C4C">
        <w:rPr>
          <w:rFonts w:ascii="Times New Roman" w:hAnsi="Times New Roman" w:cs="Times New Roman"/>
          <w:i/>
          <w:iCs/>
          <w:sz w:val="20"/>
          <w:szCs w:val="20"/>
        </w:rPr>
        <w:t>See generally</w:t>
      </w:r>
      <w:r w:rsidRPr="00445C4C">
        <w:rPr>
          <w:rFonts w:ascii="Times New Roman" w:hAnsi="Times New Roman" w:cs="Times New Roman"/>
          <w:sz w:val="20"/>
          <w:szCs w:val="20"/>
        </w:rPr>
        <w:t xml:space="preserve"> </w:t>
      </w:r>
      <w:r w:rsidRPr="00445C4C">
        <w:rPr>
          <w:rFonts w:ascii="Times New Roman" w:hAnsi="Times New Roman" w:cs="Times New Roman"/>
          <w:smallCaps/>
          <w:sz w:val="20"/>
          <w:szCs w:val="20"/>
        </w:rPr>
        <w:t xml:space="preserve">Straus, </w:t>
      </w:r>
      <w:r w:rsidRPr="00445C4C">
        <w:rPr>
          <w:rFonts w:ascii="Times New Roman" w:hAnsi="Times New Roman" w:cs="Times New Roman"/>
          <w:i/>
          <w:iCs/>
          <w:sz w:val="20"/>
          <w:szCs w:val="20"/>
        </w:rPr>
        <w:t>supra</w:t>
      </w:r>
      <w:r w:rsidRPr="00445C4C">
        <w:rPr>
          <w:rFonts w:ascii="Times New Roman" w:hAnsi="Times New Roman" w:cs="Times New Roman"/>
          <w:sz w:val="20"/>
          <w:szCs w:val="20"/>
        </w:rPr>
        <w:t xml:space="preserve"> note</w:t>
      </w:r>
      <w:r w:rsidRPr="00445C4C">
        <w:rPr>
          <w:rFonts w:ascii="Times New Roman" w:hAnsi="Times New Roman" w:cs="Times New Roman"/>
          <w:smallCaps/>
          <w:sz w:val="20"/>
          <w:szCs w:val="20"/>
        </w:rPr>
        <w:t xml:space="preserve"> 5.</w:t>
      </w:r>
    </w:p>
  </w:footnote>
  <w:footnote w:id="225">
    <w:p w14:paraId="60C9CE77" w14:textId="746D9CF1" w:rsidR="00802DBC" w:rsidRPr="00445C4C" w:rsidRDefault="00802DBC" w:rsidP="00445C4C">
      <w:pPr>
        <w:pStyle w:val="FootnoteText"/>
        <w:ind w:firstLine="144"/>
        <w:jc w:val="both"/>
        <w:rPr>
          <w:rFonts w:ascii="Times New Roman" w:hAnsi="Times New Roman" w:cs="Times New Roman"/>
          <w:sz w:val="20"/>
          <w:szCs w:val="20"/>
        </w:rPr>
      </w:pPr>
      <w:r w:rsidRPr="00445C4C">
        <w:rPr>
          <w:rStyle w:val="FootnoteReference"/>
          <w:rFonts w:ascii="Times New Roman" w:hAnsi="Times New Roman" w:cs="Times New Roman"/>
          <w:sz w:val="20"/>
          <w:szCs w:val="20"/>
        </w:rPr>
        <w:footnoteRef/>
      </w:r>
      <w:r w:rsidRPr="00445C4C">
        <w:rPr>
          <w:rFonts w:ascii="Times New Roman" w:hAnsi="Times New Roman" w:cs="Times New Roman"/>
          <w:sz w:val="20"/>
          <w:szCs w:val="20"/>
        </w:rPr>
        <w:t xml:space="preserve"> Atrocity prevention scholars, such as Dr. James Waller, consider the root causes of atrocity crimes to be issues of economic imbalance and social fragmentation, among other things. </w:t>
      </w:r>
      <w:r w:rsidRPr="00445C4C">
        <w:rPr>
          <w:rFonts w:ascii="Times New Roman" w:hAnsi="Times New Roman" w:cs="Times New Roman"/>
          <w:smallCaps/>
          <w:sz w:val="20"/>
          <w:szCs w:val="20"/>
        </w:rPr>
        <w:t>James Waller, Confronting Evil: Engaging Our Responsibility to Prevent Genocide</w:t>
      </w:r>
      <w:r w:rsidRPr="00445C4C">
        <w:rPr>
          <w:rFonts w:ascii="Times New Roman" w:hAnsi="Times New Roman" w:cs="Times New Roman"/>
          <w:sz w:val="20"/>
          <w:szCs w:val="20"/>
        </w:rPr>
        <w:t xml:space="preserve"> (2016).</w:t>
      </w:r>
    </w:p>
  </w:footnote>
  <w:footnote w:id="226">
    <w:p w14:paraId="61B4B749" w14:textId="707B9EE7" w:rsidR="00802DBC" w:rsidRPr="00445C4C" w:rsidRDefault="00802DBC" w:rsidP="009C704A">
      <w:pPr>
        <w:pStyle w:val="FootnoteText"/>
        <w:ind w:firstLine="144"/>
        <w:jc w:val="both"/>
        <w:rPr>
          <w:rFonts w:ascii="Times New Roman" w:hAnsi="Times New Roman" w:cs="Times New Roman"/>
          <w:sz w:val="20"/>
          <w:szCs w:val="20"/>
        </w:rPr>
      </w:pPr>
      <w:r w:rsidRPr="00445C4C">
        <w:rPr>
          <w:rStyle w:val="FootnoteReference"/>
          <w:rFonts w:ascii="Times New Roman" w:hAnsi="Times New Roman" w:cs="Times New Roman"/>
          <w:sz w:val="20"/>
          <w:szCs w:val="20"/>
        </w:rPr>
        <w:footnoteRef/>
      </w:r>
      <w:r w:rsidRPr="00445C4C">
        <w:rPr>
          <w:rFonts w:ascii="Times New Roman" w:hAnsi="Times New Roman" w:cs="Times New Roman"/>
          <w:sz w:val="20"/>
          <w:szCs w:val="20"/>
        </w:rPr>
        <w:t xml:space="preserve"> </w:t>
      </w:r>
      <w:r w:rsidR="00453F78">
        <w:rPr>
          <w:rFonts w:ascii="Times New Roman" w:hAnsi="Times New Roman" w:cs="Times New Roman"/>
          <w:i/>
          <w:iCs/>
          <w:sz w:val="20"/>
          <w:szCs w:val="20"/>
        </w:rPr>
        <w:t>See id</w:t>
      </w:r>
      <w:r w:rsidR="00453F78">
        <w:rPr>
          <w:rFonts w:ascii="Times New Roman" w:hAnsi="Times New Roman" w:cs="Times New Roman"/>
          <w:sz w:val="20"/>
          <w:szCs w:val="20"/>
        </w:rPr>
        <w:t xml:space="preserve">. </w:t>
      </w:r>
      <w:r w:rsidR="00453F78">
        <w:rPr>
          <w:rFonts w:ascii="Times New Roman" w:hAnsi="Times New Roman" w:cs="Times New Roman"/>
          <w:i/>
          <w:iCs/>
          <w:sz w:val="20"/>
          <w:szCs w:val="20"/>
        </w:rPr>
        <w:t>See also</w:t>
      </w:r>
      <w:r w:rsidRPr="00427E38">
        <w:rPr>
          <w:rFonts w:ascii="Times New Roman" w:hAnsi="Times New Roman" w:cs="Times New Roman"/>
          <w:i/>
          <w:iCs/>
          <w:sz w:val="20"/>
          <w:szCs w:val="20"/>
        </w:rPr>
        <w:t>.</w:t>
      </w:r>
      <w:r w:rsidRPr="00445C4C">
        <w:rPr>
          <w:rFonts w:ascii="Times New Roman" w:hAnsi="Times New Roman" w:cs="Times New Roman"/>
          <w:i/>
          <w:iCs/>
          <w:sz w:val="20"/>
          <w:szCs w:val="20"/>
        </w:rPr>
        <w:t xml:space="preserve"> </w:t>
      </w:r>
      <w:r w:rsidRPr="00445C4C">
        <w:rPr>
          <w:rFonts w:ascii="Times New Roman" w:hAnsi="Times New Roman" w:cs="Times New Roman"/>
          <w:sz w:val="20"/>
          <w:szCs w:val="20"/>
        </w:rPr>
        <w:t xml:space="preserve">Erika R. George, </w:t>
      </w:r>
      <w:r w:rsidRPr="00445C4C">
        <w:rPr>
          <w:rFonts w:ascii="Times New Roman" w:hAnsi="Times New Roman" w:cs="Times New Roman"/>
          <w:i/>
          <w:iCs/>
          <w:sz w:val="20"/>
          <w:szCs w:val="20"/>
        </w:rPr>
        <w:t>After Atrocity Examples from Africa: The Right to Education and the Role of Law in Restoration, Recovery, and Accountability</w:t>
      </w:r>
      <w:r w:rsidRPr="00445C4C">
        <w:rPr>
          <w:rFonts w:ascii="Times New Roman" w:hAnsi="Times New Roman" w:cs="Times New Roman"/>
          <w:sz w:val="20"/>
          <w:szCs w:val="20"/>
        </w:rPr>
        <w:t xml:space="preserve">, 5 </w:t>
      </w:r>
      <w:r w:rsidRPr="00445C4C">
        <w:rPr>
          <w:rFonts w:ascii="Times New Roman" w:hAnsi="Times New Roman" w:cs="Times New Roman"/>
          <w:smallCaps/>
          <w:sz w:val="20"/>
          <w:szCs w:val="20"/>
        </w:rPr>
        <w:t>Loy</w:t>
      </w:r>
      <w:r>
        <w:rPr>
          <w:rFonts w:ascii="Times New Roman" w:hAnsi="Times New Roman" w:cs="Times New Roman"/>
          <w:smallCaps/>
          <w:sz w:val="20"/>
          <w:szCs w:val="20"/>
        </w:rPr>
        <w:t>.</w:t>
      </w:r>
      <w:r w:rsidRPr="00445C4C">
        <w:rPr>
          <w:rFonts w:ascii="Times New Roman" w:hAnsi="Times New Roman" w:cs="Times New Roman"/>
          <w:smallCaps/>
          <w:sz w:val="20"/>
          <w:szCs w:val="20"/>
        </w:rPr>
        <w:t xml:space="preserve"> Univ. Chi. Int’l L. Rev. 59</w:t>
      </w:r>
      <w:r w:rsidRPr="00445C4C">
        <w:rPr>
          <w:rFonts w:ascii="Times New Roman" w:hAnsi="Times New Roman" w:cs="Times New Roman"/>
          <w:sz w:val="20"/>
          <w:szCs w:val="20"/>
        </w:rPr>
        <w:t xml:space="preserve"> (2007). </w:t>
      </w:r>
    </w:p>
  </w:footnote>
  <w:footnote w:id="227">
    <w:p w14:paraId="30462F41" w14:textId="557C78AA" w:rsidR="00802DBC" w:rsidRPr="00445C4C" w:rsidRDefault="00802DBC" w:rsidP="009C704A">
      <w:pPr>
        <w:pStyle w:val="FootnoteText"/>
        <w:ind w:firstLine="144"/>
        <w:jc w:val="both"/>
        <w:rPr>
          <w:rFonts w:ascii="Times New Roman" w:hAnsi="Times New Roman" w:cs="Times New Roman"/>
          <w:sz w:val="20"/>
          <w:szCs w:val="20"/>
        </w:rPr>
      </w:pPr>
      <w:r w:rsidRPr="00445C4C">
        <w:rPr>
          <w:rStyle w:val="FootnoteReference"/>
          <w:rFonts w:ascii="Times New Roman" w:hAnsi="Times New Roman" w:cs="Times New Roman"/>
          <w:sz w:val="20"/>
          <w:szCs w:val="20"/>
        </w:rPr>
        <w:footnoteRef/>
      </w:r>
      <w:r w:rsidRPr="00445C4C">
        <w:rPr>
          <w:rFonts w:ascii="Times New Roman" w:hAnsi="Times New Roman" w:cs="Times New Roman"/>
          <w:sz w:val="20"/>
          <w:szCs w:val="20"/>
        </w:rPr>
        <w:t xml:space="preserve"> </w:t>
      </w:r>
      <w:r w:rsidRPr="00445C4C">
        <w:rPr>
          <w:rFonts w:ascii="Times New Roman" w:hAnsi="Times New Roman" w:cs="Times New Roman"/>
          <w:smallCaps/>
          <w:sz w:val="20"/>
          <w:szCs w:val="20"/>
        </w:rPr>
        <w:t xml:space="preserve">Van </w:t>
      </w:r>
      <w:proofErr w:type="spellStart"/>
      <w:r w:rsidRPr="00445C4C">
        <w:rPr>
          <w:rFonts w:ascii="Times New Roman" w:hAnsi="Times New Roman" w:cs="Times New Roman"/>
          <w:smallCaps/>
          <w:sz w:val="20"/>
          <w:szCs w:val="20"/>
        </w:rPr>
        <w:t>Schaack</w:t>
      </w:r>
      <w:proofErr w:type="spellEnd"/>
      <w:r w:rsidRPr="00445C4C">
        <w:rPr>
          <w:rFonts w:ascii="Times New Roman" w:hAnsi="Times New Roman" w:cs="Times New Roman"/>
          <w:smallCaps/>
          <w:sz w:val="20"/>
          <w:szCs w:val="20"/>
        </w:rPr>
        <w:t xml:space="preserve"> &amp; </w:t>
      </w:r>
      <w:proofErr w:type="spellStart"/>
      <w:r w:rsidRPr="00445C4C">
        <w:rPr>
          <w:rFonts w:ascii="Times New Roman" w:hAnsi="Times New Roman" w:cs="Times New Roman"/>
          <w:smallCaps/>
          <w:sz w:val="20"/>
          <w:szCs w:val="20"/>
        </w:rPr>
        <w:t>Slye</w:t>
      </w:r>
      <w:proofErr w:type="spellEnd"/>
      <w:r w:rsidRPr="00445C4C">
        <w:rPr>
          <w:rFonts w:ascii="Times New Roman" w:hAnsi="Times New Roman" w:cs="Times New Roman"/>
          <w:smallCaps/>
          <w:sz w:val="20"/>
          <w:szCs w:val="20"/>
        </w:rPr>
        <w:t xml:space="preserve">, </w:t>
      </w:r>
      <w:r w:rsidRPr="00445C4C">
        <w:rPr>
          <w:rFonts w:ascii="Times New Roman" w:hAnsi="Times New Roman" w:cs="Times New Roman"/>
          <w:i/>
          <w:iCs/>
          <w:sz w:val="20"/>
          <w:szCs w:val="20"/>
        </w:rPr>
        <w:t>supra</w:t>
      </w:r>
      <w:r>
        <w:rPr>
          <w:rFonts w:ascii="Times New Roman" w:hAnsi="Times New Roman" w:cs="Times New Roman"/>
          <w:sz w:val="20"/>
          <w:szCs w:val="20"/>
        </w:rPr>
        <w:t xml:space="preserve"> note 71</w:t>
      </w:r>
      <w:r w:rsidRPr="00445C4C">
        <w:rPr>
          <w:rFonts w:ascii="Times New Roman" w:hAnsi="Times New Roman" w:cs="Times New Roman"/>
          <w:sz w:val="20"/>
          <w:szCs w:val="20"/>
        </w:rPr>
        <w:t>.</w:t>
      </w:r>
    </w:p>
  </w:footnote>
  <w:footnote w:id="228">
    <w:p w14:paraId="02CA7933" w14:textId="6EA074CF" w:rsidR="00802DBC" w:rsidRPr="00445C4C" w:rsidRDefault="00802DBC" w:rsidP="009C704A">
      <w:pPr>
        <w:pStyle w:val="FootnoteText"/>
        <w:ind w:firstLine="144"/>
        <w:jc w:val="both"/>
        <w:rPr>
          <w:rFonts w:ascii="Times New Roman" w:hAnsi="Times New Roman" w:cs="Times New Roman"/>
          <w:sz w:val="20"/>
          <w:szCs w:val="20"/>
        </w:rPr>
      </w:pPr>
      <w:r w:rsidRPr="00445C4C">
        <w:rPr>
          <w:rStyle w:val="FootnoteReference"/>
          <w:rFonts w:ascii="Times New Roman" w:hAnsi="Times New Roman" w:cs="Times New Roman"/>
          <w:sz w:val="20"/>
          <w:szCs w:val="20"/>
        </w:rPr>
        <w:footnoteRef/>
      </w:r>
      <w:r w:rsidRPr="00445C4C">
        <w:rPr>
          <w:rFonts w:ascii="Times New Roman" w:hAnsi="Times New Roman" w:cs="Times New Roman"/>
          <w:sz w:val="20"/>
          <w:szCs w:val="20"/>
        </w:rPr>
        <w:t xml:space="preserve"> </w:t>
      </w:r>
      <w:r w:rsidRPr="00445C4C">
        <w:rPr>
          <w:rFonts w:ascii="Times New Roman" w:hAnsi="Times New Roman" w:cs="Times New Roman"/>
          <w:i/>
          <w:iCs/>
          <w:sz w:val="20"/>
          <w:szCs w:val="20"/>
        </w:rPr>
        <w:t>See generally</w:t>
      </w:r>
      <w:r w:rsidRPr="00445C4C">
        <w:rPr>
          <w:rFonts w:ascii="Times New Roman" w:hAnsi="Times New Roman" w:cs="Times New Roman"/>
          <w:sz w:val="20"/>
          <w:szCs w:val="20"/>
        </w:rPr>
        <w:t xml:space="preserve"> </w:t>
      </w:r>
      <w:r w:rsidRPr="00445C4C">
        <w:rPr>
          <w:rFonts w:ascii="Times New Roman" w:hAnsi="Times New Roman" w:cs="Times New Roman"/>
          <w:smallCaps/>
          <w:sz w:val="20"/>
          <w:szCs w:val="20"/>
        </w:rPr>
        <w:t xml:space="preserve">Van </w:t>
      </w:r>
      <w:proofErr w:type="spellStart"/>
      <w:r w:rsidRPr="00445C4C">
        <w:rPr>
          <w:rFonts w:ascii="Times New Roman" w:hAnsi="Times New Roman" w:cs="Times New Roman"/>
          <w:smallCaps/>
          <w:sz w:val="20"/>
          <w:szCs w:val="20"/>
        </w:rPr>
        <w:t>Schaack</w:t>
      </w:r>
      <w:proofErr w:type="spellEnd"/>
      <w:r w:rsidRPr="00445C4C">
        <w:rPr>
          <w:rFonts w:ascii="Times New Roman" w:hAnsi="Times New Roman" w:cs="Times New Roman"/>
          <w:smallCaps/>
          <w:sz w:val="20"/>
          <w:szCs w:val="20"/>
        </w:rPr>
        <w:t xml:space="preserve"> &amp; </w:t>
      </w:r>
      <w:proofErr w:type="spellStart"/>
      <w:r w:rsidRPr="00445C4C">
        <w:rPr>
          <w:rFonts w:ascii="Times New Roman" w:hAnsi="Times New Roman" w:cs="Times New Roman"/>
          <w:smallCaps/>
          <w:sz w:val="20"/>
          <w:szCs w:val="20"/>
        </w:rPr>
        <w:t>Slye</w:t>
      </w:r>
      <w:proofErr w:type="spellEnd"/>
      <w:r w:rsidRPr="00445C4C">
        <w:rPr>
          <w:rFonts w:ascii="Times New Roman" w:hAnsi="Times New Roman" w:cs="Times New Roman"/>
          <w:smallCaps/>
          <w:sz w:val="20"/>
          <w:szCs w:val="20"/>
        </w:rPr>
        <w:t xml:space="preserve">, </w:t>
      </w:r>
      <w:r w:rsidRPr="00445C4C">
        <w:rPr>
          <w:rFonts w:ascii="Times New Roman" w:hAnsi="Times New Roman" w:cs="Times New Roman"/>
          <w:i/>
          <w:iCs/>
          <w:sz w:val="20"/>
          <w:szCs w:val="20"/>
        </w:rPr>
        <w:t>supra</w:t>
      </w:r>
      <w:r>
        <w:rPr>
          <w:rFonts w:ascii="Times New Roman" w:hAnsi="Times New Roman" w:cs="Times New Roman"/>
          <w:sz w:val="20"/>
          <w:szCs w:val="20"/>
        </w:rPr>
        <w:t xml:space="preserve"> note 71</w:t>
      </w:r>
      <w:r w:rsidRPr="00445C4C">
        <w:rPr>
          <w:rFonts w:ascii="Times New Roman" w:hAnsi="Times New Roman" w:cs="Times New Roman"/>
          <w:sz w:val="20"/>
          <w:szCs w:val="20"/>
        </w:rPr>
        <w:t>.</w:t>
      </w:r>
    </w:p>
  </w:footnote>
  <w:footnote w:id="229">
    <w:p w14:paraId="533883B3" w14:textId="5ADA685A" w:rsidR="00802DBC" w:rsidRPr="00445C4C" w:rsidRDefault="00802DBC" w:rsidP="00AA6EFF">
      <w:pPr>
        <w:pStyle w:val="FootnoteText"/>
        <w:ind w:firstLine="144"/>
        <w:jc w:val="both"/>
        <w:rPr>
          <w:rFonts w:ascii="Times New Roman" w:hAnsi="Times New Roman" w:cs="Times New Roman"/>
          <w:i/>
          <w:iCs/>
          <w:sz w:val="20"/>
          <w:szCs w:val="20"/>
        </w:rPr>
      </w:pPr>
      <w:r w:rsidRPr="00445C4C">
        <w:rPr>
          <w:rStyle w:val="FootnoteReference"/>
          <w:rFonts w:ascii="Times New Roman" w:hAnsi="Times New Roman" w:cs="Times New Roman"/>
          <w:sz w:val="20"/>
          <w:szCs w:val="20"/>
        </w:rPr>
        <w:footnoteRef/>
      </w:r>
      <w:r w:rsidRPr="00445C4C">
        <w:rPr>
          <w:rFonts w:ascii="Times New Roman" w:hAnsi="Times New Roman" w:cs="Times New Roman"/>
          <w:sz w:val="20"/>
          <w:szCs w:val="20"/>
        </w:rPr>
        <w:t xml:space="preserve"> </w:t>
      </w:r>
      <w:r>
        <w:rPr>
          <w:rFonts w:ascii="Times New Roman" w:hAnsi="Times New Roman" w:cs="Times New Roman"/>
          <w:sz w:val="20"/>
          <w:szCs w:val="20"/>
        </w:rPr>
        <w:t>U.N.</w:t>
      </w:r>
      <w:r w:rsidRPr="009C704A">
        <w:rPr>
          <w:rFonts w:ascii="Times New Roman" w:hAnsi="Times New Roman" w:cs="Times New Roman"/>
          <w:sz w:val="20"/>
          <w:szCs w:val="20"/>
        </w:rPr>
        <w:t xml:space="preserve"> Framework of Analysis, </w:t>
      </w:r>
      <w:r w:rsidRPr="009C704A">
        <w:rPr>
          <w:rFonts w:ascii="Times New Roman" w:hAnsi="Times New Roman" w:cs="Times New Roman"/>
          <w:i/>
          <w:iCs/>
          <w:sz w:val="20"/>
          <w:szCs w:val="20"/>
        </w:rPr>
        <w:t xml:space="preserve">supra </w:t>
      </w:r>
      <w:r>
        <w:rPr>
          <w:rFonts w:ascii="Times New Roman" w:hAnsi="Times New Roman" w:cs="Times New Roman"/>
          <w:sz w:val="20"/>
          <w:szCs w:val="20"/>
        </w:rPr>
        <w:t>note 19</w:t>
      </w:r>
      <w:r w:rsidRPr="009C704A">
        <w:rPr>
          <w:rFonts w:ascii="Times New Roman" w:hAnsi="Times New Roman" w:cs="Times New Roman"/>
          <w:sz w:val="20"/>
          <w:szCs w:val="20"/>
        </w:rPr>
        <w:t>.</w:t>
      </w:r>
    </w:p>
  </w:footnote>
  <w:footnote w:id="230">
    <w:p w14:paraId="0477ECF0" w14:textId="44810808" w:rsidR="00802DBC" w:rsidRPr="00445C4C" w:rsidRDefault="00802DBC" w:rsidP="00AA6EFF">
      <w:pPr>
        <w:pStyle w:val="FootnoteText"/>
        <w:ind w:firstLine="144"/>
        <w:jc w:val="both"/>
        <w:rPr>
          <w:rFonts w:ascii="Times New Roman" w:hAnsi="Times New Roman" w:cs="Times New Roman"/>
          <w:sz w:val="20"/>
          <w:szCs w:val="20"/>
        </w:rPr>
      </w:pPr>
      <w:r w:rsidRPr="00445C4C">
        <w:rPr>
          <w:rStyle w:val="FootnoteReference"/>
          <w:rFonts w:ascii="Times New Roman" w:hAnsi="Times New Roman" w:cs="Times New Roman"/>
          <w:sz w:val="20"/>
          <w:szCs w:val="20"/>
        </w:rPr>
        <w:footnoteRef/>
      </w:r>
      <w:r w:rsidRPr="00445C4C">
        <w:rPr>
          <w:rFonts w:ascii="Times New Roman" w:hAnsi="Times New Roman" w:cs="Times New Roman"/>
          <w:sz w:val="20"/>
          <w:szCs w:val="20"/>
        </w:rPr>
        <w:t xml:space="preserve"> </w:t>
      </w:r>
      <w:r w:rsidRPr="00445C4C">
        <w:rPr>
          <w:rFonts w:ascii="Times New Roman" w:hAnsi="Times New Roman" w:cs="Times New Roman"/>
          <w:i/>
          <w:iCs/>
          <w:sz w:val="20"/>
          <w:szCs w:val="20"/>
        </w:rPr>
        <w:t>See generally</w:t>
      </w:r>
      <w:r w:rsidRPr="00445C4C">
        <w:rPr>
          <w:rFonts w:ascii="Times New Roman" w:hAnsi="Times New Roman" w:cs="Times New Roman"/>
          <w:sz w:val="20"/>
          <w:szCs w:val="20"/>
        </w:rPr>
        <w:t xml:space="preserve"> Andrew H. </w:t>
      </w:r>
      <w:proofErr w:type="spellStart"/>
      <w:r w:rsidRPr="00445C4C">
        <w:rPr>
          <w:rFonts w:ascii="Times New Roman" w:hAnsi="Times New Roman" w:cs="Times New Roman"/>
          <w:sz w:val="20"/>
          <w:szCs w:val="20"/>
        </w:rPr>
        <w:t>Kydd</w:t>
      </w:r>
      <w:proofErr w:type="spellEnd"/>
      <w:r w:rsidRPr="00445C4C">
        <w:rPr>
          <w:rFonts w:ascii="Times New Roman" w:hAnsi="Times New Roman" w:cs="Times New Roman"/>
          <w:sz w:val="20"/>
          <w:szCs w:val="20"/>
        </w:rPr>
        <w:t xml:space="preserve"> </w:t>
      </w:r>
      <w:r>
        <w:rPr>
          <w:rFonts w:ascii="Times New Roman" w:hAnsi="Times New Roman" w:cs="Times New Roman"/>
          <w:sz w:val="20"/>
          <w:szCs w:val="20"/>
        </w:rPr>
        <w:t>&amp;</w:t>
      </w:r>
      <w:r w:rsidRPr="00445C4C">
        <w:rPr>
          <w:rFonts w:ascii="Times New Roman" w:hAnsi="Times New Roman" w:cs="Times New Roman"/>
          <w:sz w:val="20"/>
          <w:szCs w:val="20"/>
        </w:rPr>
        <w:t xml:space="preserve"> Scott Straus, </w:t>
      </w:r>
      <w:r w:rsidRPr="00445C4C">
        <w:rPr>
          <w:rFonts w:ascii="Times New Roman" w:hAnsi="Times New Roman" w:cs="Times New Roman"/>
          <w:i/>
          <w:iCs/>
          <w:sz w:val="20"/>
          <w:szCs w:val="20"/>
        </w:rPr>
        <w:t>The Road to Hell? Third-Party Intervention to Prevent Atrocities</w:t>
      </w:r>
      <w:r w:rsidRPr="00445C4C">
        <w:rPr>
          <w:rFonts w:ascii="Times New Roman" w:hAnsi="Times New Roman" w:cs="Times New Roman"/>
          <w:sz w:val="20"/>
          <w:szCs w:val="20"/>
        </w:rPr>
        <w:t xml:space="preserve">, </w:t>
      </w:r>
      <w:r w:rsidRPr="00445C4C">
        <w:rPr>
          <w:rFonts w:ascii="Times New Roman" w:hAnsi="Times New Roman" w:cs="Times New Roman"/>
          <w:smallCaps/>
          <w:sz w:val="20"/>
          <w:szCs w:val="20"/>
        </w:rPr>
        <w:t>57 Am. J. of Pol. Sci.</w:t>
      </w:r>
      <w:r w:rsidRPr="00445C4C">
        <w:rPr>
          <w:rFonts w:ascii="Times New Roman" w:hAnsi="Times New Roman" w:cs="Times New Roman"/>
          <w:sz w:val="20"/>
          <w:szCs w:val="20"/>
        </w:rPr>
        <w:t xml:space="preserve"> 673 (2013).</w:t>
      </w:r>
      <w:r w:rsidRPr="00445C4C">
        <w:rPr>
          <w:rFonts w:ascii="Times New Roman" w:eastAsia="MS Mincho" w:hAnsi="Times New Roman" w:cs="Times New Roman"/>
          <w:sz w:val="20"/>
          <w:szCs w:val="20"/>
        </w:rPr>
        <w:t> </w:t>
      </w:r>
    </w:p>
  </w:footnote>
  <w:footnote w:id="231">
    <w:p w14:paraId="3EE7C1B7" w14:textId="2CF45E71" w:rsidR="00802DBC" w:rsidRPr="00EF740A" w:rsidRDefault="00802DBC" w:rsidP="003A4576">
      <w:pPr>
        <w:pStyle w:val="FootnoteText"/>
        <w:ind w:firstLine="144"/>
        <w:jc w:val="both"/>
        <w:rPr>
          <w:rFonts w:asciiTheme="majorBidi" w:hAnsiTheme="majorBidi" w:cstheme="majorBidi"/>
          <w:sz w:val="20"/>
          <w:szCs w:val="20"/>
        </w:rPr>
      </w:pPr>
      <w:r w:rsidRPr="00445C4C">
        <w:rPr>
          <w:rStyle w:val="FootnoteReference"/>
          <w:rFonts w:ascii="Times New Roman" w:hAnsi="Times New Roman" w:cs="Times New Roman"/>
          <w:sz w:val="20"/>
          <w:szCs w:val="20"/>
        </w:rPr>
        <w:footnoteRef/>
      </w:r>
      <w:r w:rsidRPr="00445C4C">
        <w:rPr>
          <w:rFonts w:ascii="Times New Roman" w:hAnsi="Times New Roman" w:cs="Times New Roman"/>
          <w:sz w:val="20"/>
          <w:szCs w:val="20"/>
        </w:rPr>
        <w:t xml:space="preserve"> Sarah Sewall, </w:t>
      </w:r>
      <w:r w:rsidRPr="00445C4C">
        <w:rPr>
          <w:rFonts w:ascii="Times New Roman" w:hAnsi="Times New Roman" w:cs="Times New Roman"/>
          <w:i/>
          <w:iCs/>
          <w:sz w:val="20"/>
          <w:szCs w:val="20"/>
        </w:rPr>
        <w:t>From Prevention to Response: Using Military Force to Oppose Mass Atrocities</w:t>
      </w:r>
      <w:r w:rsidRPr="00445C4C">
        <w:rPr>
          <w:rFonts w:ascii="Times New Roman" w:hAnsi="Times New Roman" w:cs="Times New Roman"/>
          <w:iCs/>
          <w:sz w:val="20"/>
          <w:szCs w:val="20"/>
        </w:rPr>
        <w:t>,</w:t>
      </w:r>
      <w:r w:rsidRPr="00445C4C">
        <w:rPr>
          <w:rFonts w:ascii="Times New Roman" w:hAnsi="Times New Roman" w:cs="Times New Roman"/>
          <w:i/>
          <w:iCs/>
          <w:sz w:val="20"/>
          <w:szCs w:val="20"/>
        </w:rPr>
        <w:t xml:space="preserve"> in</w:t>
      </w:r>
      <w:r w:rsidRPr="00445C4C">
        <w:rPr>
          <w:rFonts w:ascii="Times New Roman" w:hAnsi="Times New Roman" w:cs="Times New Roman"/>
          <w:sz w:val="20"/>
          <w:szCs w:val="20"/>
        </w:rPr>
        <w:t xml:space="preserve"> </w:t>
      </w:r>
      <w:r w:rsidRPr="00445C4C">
        <w:rPr>
          <w:rFonts w:ascii="Times New Roman" w:hAnsi="Times New Roman" w:cs="Times New Roman"/>
          <w:smallCaps/>
          <w:sz w:val="20"/>
          <w:szCs w:val="20"/>
        </w:rPr>
        <w:t>Mass Atrocity Crimes</w:t>
      </w:r>
      <w:r w:rsidRPr="00445C4C">
        <w:rPr>
          <w:rFonts w:ascii="Times New Roman" w:hAnsi="Times New Roman" w:cs="Times New Roman"/>
          <w:sz w:val="20"/>
          <w:szCs w:val="20"/>
        </w:rPr>
        <w:t xml:space="preserve"> 159</w:t>
      </w:r>
      <w:r w:rsidR="005854BC">
        <w:rPr>
          <w:rFonts w:ascii="Times New Roman" w:hAnsi="Times New Roman" w:cs="Times New Roman"/>
          <w:sz w:val="20"/>
          <w:szCs w:val="20"/>
        </w:rPr>
        <w:t>, 159–</w:t>
      </w:r>
      <w:r w:rsidRPr="00445C4C">
        <w:rPr>
          <w:rFonts w:ascii="Times New Roman" w:hAnsi="Times New Roman" w:cs="Times New Roman"/>
          <w:sz w:val="20"/>
          <w:szCs w:val="20"/>
        </w:rPr>
        <w:t>73</w:t>
      </w:r>
      <w:r>
        <w:rPr>
          <w:rFonts w:ascii="Times New Roman" w:hAnsi="Times New Roman" w:cs="Times New Roman"/>
          <w:sz w:val="20"/>
          <w:szCs w:val="20"/>
        </w:rPr>
        <w:t xml:space="preserve"> </w:t>
      </w:r>
      <w:r w:rsidRPr="00445C4C">
        <w:rPr>
          <w:rFonts w:ascii="Times New Roman" w:hAnsi="Times New Roman" w:cs="Times New Roman"/>
          <w:sz w:val="20"/>
          <w:szCs w:val="20"/>
        </w:rPr>
        <w:t xml:space="preserve">(Robert I. </w:t>
      </w:r>
      <w:proofErr w:type="spellStart"/>
      <w:r w:rsidRPr="00445C4C">
        <w:rPr>
          <w:rFonts w:ascii="Times New Roman" w:hAnsi="Times New Roman" w:cs="Times New Roman"/>
          <w:sz w:val="20"/>
          <w:szCs w:val="20"/>
        </w:rPr>
        <w:t>Rotberg</w:t>
      </w:r>
      <w:proofErr w:type="spellEnd"/>
      <w:r w:rsidRPr="00445C4C">
        <w:rPr>
          <w:rFonts w:ascii="Times New Roman" w:hAnsi="Times New Roman" w:cs="Times New Roman"/>
          <w:sz w:val="20"/>
          <w:szCs w:val="20"/>
        </w:rPr>
        <w:t xml:space="preserve"> ed., 2010).</w:t>
      </w:r>
    </w:p>
  </w:footnote>
  <w:footnote w:id="232">
    <w:p w14:paraId="3E6C1AC1" w14:textId="381CB0B1" w:rsidR="00802DBC" w:rsidRPr="00445C4C" w:rsidRDefault="00802DBC" w:rsidP="005854BC">
      <w:pPr>
        <w:pStyle w:val="FootnoteText"/>
        <w:ind w:firstLine="144"/>
        <w:jc w:val="both"/>
        <w:rPr>
          <w:rFonts w:ascii="Times New Roman" w:eastAsia="MS Mincho" w:hAnsi="Times New Roman" w:cs="Times New Roman"/>
          <w:sz w:val="20"/>
          <w:szCs w:val="20"/>
        </w:rPr>
      </w:pPr>
      <w:r w:rsidRPr="009C704A">
        <w:rPr>
          <w:rStyle w:val="FootnoteReference"/>
          <w:rFonts w:ascii="Times New Roman" w:hAnsi="Times New Roman" w:cs="Times New Roman"/>
          <w:sz w:val="20"/>
          <w:szCs w:val="20"/>
        </w:rPr>
        <w:footnoteRef/>
      </w:r>
      <w:r w:rsidRPr="009C704A">
        <w:rPr>
          <w:rFonts w:ascii="Times New Roman" w:hAnsi="Times New Roman" w:cs="Times New Roman"/>
          <w:sz w:val="20"/>
          <w:szCs w:val="20"/>
        </w:rPr>
        <w:t xml:space="preserve"> Laura Nader </w:t>
      </w:r>
      <w:r w:rsidR="005854BC">
        <w:rPr>
          <w:rFonts w:ascii="Times New Roman" w:hAnsi="Times New Roman" w:cs="Times New Roman"/>
          <w:sz w:val="20"/>
          <w:szCs w:val="20"/>
        </w:rPr>
        <w:t>&amp;</w:t>
      </w:r>
      <w:r w:rsidRPr="009C704A">
        <w:rPr>
          <w:rFonts w:ascii="Times New Roman" w:hAnsi="Times New Roman" w:cs="Times New Roman"/>
          <w:sz w:val="20"/>
          <w:szCs w:val="20"/>
        </w:rPr>
        <w:t xml:space="preserve"> </w:t>
      </w:r>
      <w:proofErr w:type="spellStart"/>
      <w:r w:rsidRPr="009C704A">
        <w:rPr>
          <w:rFonts w:ascii="Times New Roman" w:hAnsi="Times New Roman" w:cs="Times New Roman"/>
          <w:sz w:val="20"/>
          <w:szCs w:val="20"/>
        </w:rPr>
        <w:t>Elisabetta</w:t>
      </w:r>
      <w:proofErr w:type="spellEnd"/>
      <w:r w:rsidRPr="009C704A">
        <w:rPr>
          <w:rFonts w:ascii="Times New Roman" w:hAnsi="Times New Roman" w:cs="Times New Roman"/>
          <w:sz w:val="20"/>
          <w:szCs w:val="20"/>
        </w:rPr>
        <w:t xml:space="preserve"> Grande</w:t>
      </w:r>
      <w:r w:rsidRPr="00445C4C">
        <w:rPr>
          <w:rFonts w:ascii="Times New Roman" w:eastAsia="MS Mincho" w:hAnsi="Times New Roman" w:cs="Times New Roman"/>
          <w:sz w:val="20"/>
          <w:szCs w:val="20"/>
        </w:rPr>
        <w:t xml:space="preserve">, </w:t>
      </w:r>
      <w:r w:rsidRPr="009C704A">
        <w:rPr>
          <w:rFonts w:ascii="Times New Roman" w:eastAsia="MS Mincho" w:hAnsi="Times New Roman" w:cs="Times New Roman"/>
          <w:i/>
          <w:iCs/>
          <w:sz w:val="20"/>
          <w:szCs w:val="20"/>
        </w:rPr>
        <w:t>Current Illusions and Delusions about Conflict Management</w:t>
      </w:r>
      <w:r>
        <w:rPr>
          <w:rFonts w:ascii="Times New Roman" w:eastAsia="MS Mincho" w:hAnsi="Times New Roman" w:cs="Times New Roman"/>
          <w:i/>
          <w:iCs/>
          <w:sz w:val="20"/>
          <w:szCs w:val="20"/>
        </w:rPr>
        <w:t xml:space="preserve"> </w:t>
      </w:r>
      <w:proofErr w:type="gramStart"/>
      <w:r w:rsidRPr="009C704A">
        <w:rPr>
          <w:rFonts w:ascii="Times New Roman" w:eastAsia="MS Mincho" w:hAnsi="Times New Roman" w:cs="Times New Roman"/>
          <w:i/>
          <w:iCs/>
          <w:sz w:val="20"/>
          <w:szCs w:val="20"/>
        </w:rPr>
        <w:t>In</w:t>
      </w:r>
      <w:proofErr w:type="gramEnd"/>
      <w:r w:rsidRPr="009C704A">
        <w:rPr>
          <w:rFonts w:ascii="Times New Roman" w:eastAsia="MS Mincho" w:hAnsi="Times New Roman" w:cs="Times New Roman"/>
          <w:i/>
          <w:iCs/>
          <w:sz w:val="20"/>
          <w:szCs w:val="20"/>
        </w:rPr>
        <w:t xml:space="preserve"> Africa and Elsewhere</w:t>
      </w:r>
      <w:r w:rsidRPr="009C704A">
        <w:rPr>
          <w:rFonts w:ascii="Times New Roman" w:eastAsia="MS Mincho" w:hAnsi="Times New Roman" w:cs="Times New Roman"/>
          <w:sz w:val="20"/>
          <w:szCs w:val="20"/>
        </w:rPr>
        <w:t xml:space="preserve">, 27 </w:t>
      </w:r>
      <w:r w:rsidRPr="009C704A">
        <w:rPr>
          <w:rFonts w:ascii="Times New Roman" w:eastAsia="MS Mincho" w:hAnsi="Times New Roman" w:cs="Times New Roman"/>
          <w:smallCaps/>
          <w:sz w:val="20"/>
          <w:szCs w:val="20"/>
        </w:rPr>
        <w:t xml:space="preserve">L. </w:t>
      </w:r>
      <w:r>
        <w:rPr>
          <w:rFonts w:ascii="Times New Roman" w:eastAsia="MS Mincho" w:hAnsi="Times New Roman" w:cs="Times New Roman"/>
          <w:smallCaps/>
          <w:sz w:val="20"/>
          <w:szCs w:val="20"/>
        </w:rPr>
        <w:t>&amp;</w:t>
      </w:r>
      <w:r w:rsidRPr="009C704A">
        <w:rPr>
          <w:rFonts w:ascii="Times New Roman" w:eastAsia="MS Mincho" w:hAnsi="Times New Roman" w:cs="Times New Roman"/>
          <w:smallCaps/>
          <w:sz w:val="20"/>
          <w:szCs w:val="20"/>
        </w:rPr>
        <w:t xml:space="preserve"> Soc. Inquiry </w:t>
      </w:r>
      <w:r w:rsidRPr="009C704A">
        <w:rPr>
          <w:rFonts w:ascii="Times New Roman" w:eastAsia="MS Mincho" w:hAnsi="Times New Roman" w:cs="Times New Roman"/>
          <w:sz w:val="20"/>
          <w:szCs w:val="20"/>
        </w:rPr>
        <w:t xml:space="preserve">573, 585 (2002). </w:t>
      </w:r>
      <w:r w:rsidRPr="00445C4C">
        <w:rPr>
          <w:rFonts w:ascii="Times New Roman" w:eastAsia="MS Mincho" w:hAnsi="Times New Roman" w:cs="Times New Roman"/>
          <w:sz w:val="20"/>
          <w:szCs w:val="20"/>
        </w:rPr>
        <w:t xml:space="preserve"> </w:t>
      </w:r>
    </w:p>
  </w:footnote>
  <w:footnote w:id="233">
    <w:p w14:paraId="50C5B7B0" w14:textId="3A77D753" w:rsidR="00802DBC" w:rsidRPr="00445C4C" w:rsidRDefault="00802DBC">
      <w:pPr>
        <w:pStyle w:val="FootnoteText"/>
        <w:ind w:firstLine="144"/>
        <w:jc w:val="both"/>
        <w:rPr>
          <w:rFonts w:ascii="Times New Roman" w:hAnsi="Times New Roman" w:cs="Times New Roman"/>
          <w:sz w:val="20"/>
          <w:szCs w:val="20"/>
        </w:rPr>
      </w:pPr>
      <w:r w:rsidRPr="00445C4C">
        <w:rPr>
          <w:rStyle w:val="FootnoteReference"/>
          <w:rFonts w:ascii="Times New Roman" w:hAnsi="Times New Roman" w:cs="Times New Roman"/>
          <w:sz w:val="20"/>
          <w:szCs w:val="20"/>
        </w:rPr>
        <w:footnoteRef/>
      </w:r>
      <w:r w:rsidRPr="00445C4C">
        <w:rPr>
          <w:rFonts w:ascii="Times New Roman" w:hAnsi="Times New Roman" w:cs="Times New Roman"/>
          <w:sz w:val="20"/>
          <w:szCs w:val="20"/>
        </w:rPr>
        <w:t xml:space="preserve"> </w:t>
      </w:r>
      <w:r w:rsidRPr="00445C4C">
        <w:rPr>
          <w:rFonts w:ascii="Times New Roman" w:hAnsi="Times New Roman" w:cs="Times New Roman"/>
          <w:i/>
          <w:iCs/>
          <w:sz w:val="20"/>
          <w:szCs w:val="20"/>
        </w:rPr>
        <w:t>See generally id</w:t>
      </w:r>
      <w:r w:rsidRPr="00445C4C">
        <w:rPr>
          <w:rFonts w:ascii="Times New Roman" w:hAnsi="Times New Roman" w:cs="Times New Roman"/>
          <w:sz w:val="20"/>
          <w:szCs w:val="20"/>
        </w:rPr>
        <w:t xml:space="preserve">. </w:t>
      </w:r>
    </w:p>
  </w:footnote>
  <w:footnote w:id="234">
    <w:p w14:paraId="287B5DD8" w14:textId="3FB33C5C" w:rsidR="00802DBC" w:rsidRPr="009C704A" w:rsidRDefault="00802DBC" w:rsidP="005854BC">
      <w:pPr>
        <w:pStyle w:val="FootnoteText"/>
        <w:ind w:firstLine="144"/>
        <w:jc w:val="both"/>
        <w:rPr>
          <w:rFonts w:ascii="Times New Roman" w:hAnsi="Times New Roman" w:cs="Times New Roman"/>
          <w:sz w:val="20"/>
          <w:szCs w:val="20"/>
        </w:rPr>
      </w:pPr>
      <w:r w:rsidRPr="009C704A">
        <w:rPr>
          <w:rStyle w:val="FootnoteReference"/>
          <w:rFonts w:ascii="Times New Roman" w:hAnsi="Times New Roman" w:cs="Times New Roman"/>
          <w:sz w:val="20"/>
          <w:szCs w:val="20"/>
        </w:rPr>
        <w:footnoteRef/>
      </w:r>
      <w:r w:rsidRPr="009C704A">
        <w:rPr>
          <w:rFonts w:ascii="Times New Roman" w:hAnsi="Times New Roman" w:cs="Times New Roman"/>
          <w:sz w:val="20"/>
          <w:szCs w:val="20"/>
        </w:rPr>
        <w:t xml:space="preserve"> </w:t>
      </w:r>
      <w:r w:rsidRPr="00445C4C">
        <w:rPr>
          <w:rFonts w:ascii="Times New Roman" w:hAnsi="Times New Roman" w:cs="Times New Roman"/>
          <w:sz w:val="20"/>
          <w:szCs w:val="20"/>
        </w:rPr>
        <w:t xml:space="preserve">U.N. Dept. of Pol. </w:t>
      </w:r>
      <w:proofErr w:type="spellStart"/>
      <w:r w:rsidRPr="00445C4C">
        <w:rPr>
          <w:rFonts w:ascii="Times New Roman" w:hAnsi="Times New Roman" w:cs="Times New Roman"/>
          <w:sz w:val="20"/>
          <w:szCs w:val="20"/>
        </w:rPr>
        <w:t>Aff</w:t>
      </w:r>
      <w:proofErr w:type="spellEnd"/>
      <w:r w:rsidRPr="00822A65">
        <w:rPr>
          <w:rFonts w:ascii="Times New Roman" w:hAnsi="Times New Roman" w:cs="Times New Roman"/>
          <w:smallCaps/>
          <w:sz w:val="20"/>
          <w:szCs w:val="20"/>
        </w:rPr>
        <w:t>.</w:t>
      </w:r>
      <w:r>
        <w:rPr>
          <w:rFonts w:ascii="Times New Roman" w:hAnsi="Times New Roman" w:cs="Times New Roman"/>
          <w:smallCaps/>
          <w:sz w:val="20"/>
          <w:szCs w:val="20"/>
        </w:rPr>
        <w:t xml:space="preserve">, </w:t>
      </w:r>
      <w:r w:rsidRPr="00445C4C">
        <w:rPr>
          <w:rFonts w:ascii="Times New Roman" w:hAnsi="Times New Roman" w:cs="Times New Roman"/>
          <w:i/>
          <w:iCs/>
          <w:sz w:val="20"/>
          <w:szCs w:val="20"/>
        </w:rPr>
        <w:t>Prevention and Mediation</w:t>
      </w:r>
      <w:r w:rsidRPr="00445C4C">
        <w:rPr>
          <w:rFonts w:ascii="Times New Roman" w:hAnsi="Times New Roman" w:cs="Times New Roman"/>
          <w:sz w:val="20"/>
          <w:szCs w:val="20"/>
        </w:rPr>
        <w:t xml:space="preserve">, </w:t>
      </w:r>
      <w:r>
        <w:rPr>
          <w:rFonts w:ascii="Times New Roman" w:hAnsi="Times New Roman" w:cs="Times New Roman"/>
          <w:smallCaps/>
          <w:sz w:val="20"/>
          <w:szCs w:val="20"/>
        </w:rPr>
        <w:t>U.N.</w:t>
      </w:r>
      <w:r w:rsidRPr="00445C4C">
        <w:rPr>
          <w:rFonts w:ascii="Times New Roman" w:hAnsi="Times New Roman" w:cs="Times New Roman"/>
          <w:sz w:val="20"/>
          <w:szCs w:val="20"/>
        </w:rPr>
        <w:t>, http://www.un.org/undpa/en/diplomacy-mediation.</w:t>
      </w:r>
      <w:r>
        <w:rPr>
          <w:rFonts w:ascii="Times New Roman" w:hAnsi="Times New Roman" w:cs="Times New Roman"/>
          <w:sz w:val="20"/>
          <w:szCs w:val="20"/>
        </w:rPr>
        <w:t xml:space="preserve"> (last visited Jan. 20, 2017).</w:t>
      </w:r>
    </w:p>
  </w:footnote>
  <w:footnote w:id="235">
    <w:p w14:paraId="31F022E9" w14:textId="1BF1259F" w:rsidR="00802DBC" w:rsidRPr="00445C4C" w:rsidRDefault="00802DBC" w:rsidP="00445C4C">
      <w:pPr>
        <w:pStyle w:val="FootnoteText"/>
        <w:ind w:firstLine="144"/>
        <w:jc w:val="both"/>
        <w:rPr>
          <w:rFonts w:ascii="Times New Roman" w:hAnsi="Times New Roman" w:cs="Times New Roman"/>
          <w:sz w:val="20"/>
          <w:szCs w:val="20"/>
        </w:rPr>
      </w:pPr>
      <w:r w:rsidRPr="00445C4C">
        <w:rPr>
          <w:rStyle w:val="FootnoteReference"/>
          <w:rFonts w:ascii="Times New Roman" w:hAnsi="Times New Roman" w:cs="Times New Roman"/>
          <w:sz w:val="20"/>
          <w:szCs w:val="20"/>
        </w:rPr>
        <w:footnoteRef/>
      </w:r>
      <w:r w:rsidRPr="00445C4C">
        <w:rPr>
          <w:rFonts w:ascii="Times New Roman" w:hAnsi="Times New Roman" w:cs="Times New Roman"/>
          <w:sz w:val="20"/>
          <w:szCs w:val="20"/>
        </w:rPr>
        <w:t xml:space="preserve"> </w:t>
      </w:r>
      <w:r w:rsidRPr="00445C4C">
        <w:rPr>
          <w:rFonts w:ascii="Times New Roman" w:hAnsi="Times New Roman" w:cs="Times New Roman"/>
          <w:i/>
          <w:iCs/>
          <w:sz w:val="20"/>
          <w:szCs w:val="20"/>
        </w:rPr>
        <w:t xml:space="preserve">See </w:t>
      </w:r>
      <w:r w:rsidRPr="00445C4C">
        <w:rPr>
          <w:rFonts w:ascii="Times New Roman" w:hAnsi="Times New Roman" w:cs="Times New Roman"/>
          <w:smallCaps/>
          <w:sz w:val="20"/>
          <w:szCs w:val="20"/>
        </w:rPr>
        <w:t xml:space="preserve">Waller, </w:t>
      </w:r>
      <w:r w:rsidRPr="00445C4C">
        <w:rPr>
          <w:rFonts w:ascii="Times New Roman" w:hAnsi="Times New Roman" w:cs="Times New Roman"/>
          <w:i/>
          <w:iCs/>
          <w:sz w:val="20"/>
          <w:szCs w:val="20"/>
        </w:rPr>
        <w:t>supra</w:t>
      </w:r>
      <w:r>
        <w:rPr>
          <w:rFonts w:ascii="Times New Roman" w:hAnsi="Times New Roman" w:cs="Times New Roman"/>
          <w:sz w:val="20"/>
          <w:szCs w:val="20"/>
        </w:rPr>
        <w:t xml:space="preserve"> note 224</w:t>
      </w:r>
      <w:r w:rsidRPr="00445C4C">
        <w:rPr>
          <w:rFonts w:ascii="Times New Roman" w:hAnsi="Times New Roman" w:cs="Times New Roman"/>
          <w:sz w:val="20"/>
          <w:szCs w:val="20"/>
        </w:rPr>
        <w:t>.</w:t>
      </w:r>
    </w:p>
  </w:footnote>
  <w:footnote w:id="236">
    <w:p w14:paraId="226F734D" w14:textId="7E333D46" w:rsidR="00802DBC" w:rsidRPr="00445C4C" w:rsidRDefault="00802DBC" w:rsidP="009C704A">
      <w:pPr>
        <w:pStyle w:val="FootnoteText"/>
        <w:ind w:firstLine="144"/>
        <w:jc w:val="both"/>
        <w:rPr>
          <w:rFonts w:ascii="Times New Roman" w:hAnsi="Times New Roman" w:cs="Times New Roman"/>
          <w:sz w:val="20"/>
          <w:szCs w:val="20"/>
        </w:rPr>
      </w:pPr>
      <w:r w:rsidRPr="00445C4C">
        <w:rPr>
          <w:rStyle w:val="FootnoteReference"/>
          <w:rFonts w:ascii="Times New Roman" w:hAnsi="Times New Roman" w:cs="Times New Roman"/>
          <w:sz w:val="20"/>
          <w:szCs w:val="20"/>
        </w:rPr>
        <w:footnoteRef/>
      </w:r>
      <w:r>
        <w:rPr>
          <w:rFonts w:ascii="Times New Roman" w:hAnsi="Times New Roman" w:cs="Times New Roman"/>
          <w:i/>
          <w:iCs/>
          <w:sz w:val="20"/>
          <w:szCs w:val="20"/>
        </w:rPr>
        <w:t xml:space="preserve"> </w:t>
      </w:r>
      <w:r w:rsidRPr="00445C4C">
        <w:rPr>
          <w:rFonts w:ascii="Times New Roman" w:hAnsi="Times New Roman" w:cs="Times New Roman"/>
          <w:i/>
          <w:iCs/>
          <w:sz w:val="20"/>
          <w:szCs w:val="20"/>
        </w:rPr>
        <w:t xml:space="preserve">See </w:t>
      </w:r>
      <w:r w:rsidRPr="00445C4C">
        <w:rPr>
          <w:rFonts w:ascii="Times New Roman" w:hAnsi="Times New Roman" w:cs="Times New Roman"/>
          <w:sz w:val="20"/>
          <w:szCs w:val="20"/>
        </w:rPr>
        <w:t xml:space="preserve">Patricia Lundy &amp; Mark McGovern, </w:t>
      </w:r>
      <w:r w:rsidRPr="00445C4C">
        <w:rPr>
          <w:rFonts w:ascii="Times New Roman" w:hAnsi="Times New Roman" w:cs="Times New Roman"/>
          <w:i/>
          <w:iCs/>
          <w:sz w:val="20"/>
          <w:szCs w:val="20"/>
        </w:rPr>
        <w:t>Whose Justice? Rethinking Transitional Justice from the Bottom Up</w:t>
      </w:r>
      <w:r w:rsidRPr="00445C4C">
        <w:rPr>
          <w:rFonts w:ascii="Times New Roman" w:hAnsi="Times New Roman" w:cs="Times New Roman"/>
          <w:sz w:val="20"/>
          <w:szCs w:val="20"/>
        </w:rPr>
        <w:t xml:space="preserve">, </w:t>
      </w:r>
      <w:r w:rsidR="005854BC">
        <w:rPr>
          <w:rFonts w:ascii="Times New Roman" w:hAnsi="Times New Roman" w:cs="Times New Roman"/>
          <w:smallCaps/>
          <w:sz w:val="20"/>
          <w:szCs w:val="20"/>
        </w:rPr>
        <w:t>35 J.</w:t>
      </w:r>
      <w:r w:rsidRPr="00445C4C">
        <w:rPr>
          <w:rFonts w:ascii="Times New Roman" w:hAnsi="Times New Roman" w:cs="Times New Roman"/>
          <w:smallCaps/>
          <w:sz w:val="20"/>
          <w:szCs w:val="20"/>
        </w:rPr>
        <w:t xml:space="preserve"> L. </w:t>
      </w:r>
      <w:r>
        <w:rPr>
          <w:rFonts w:ascii="Times New Roman" w:hAnsi="Times New Roman" w:cs="Times New Roman"/>
          <w:smallCaps/>
          <w:sz w:val="20"/>
          <w:szCs w:val="20"/>
        </w:rPr>
        <w:t>&amp;</w:t>
      </w:r>
      <w:r w:rsidRPr="00445C4C">
        <w:rPr>
          <w:rFonts w:ascii="Times New Roman" w:hAnsi="Times New Roman" w:cs="Times New Roman"/>
          <w:smallCaps/>
          <w:sz w:val="20"/>
          <w:szCs w:val="20"/>
        </w:rPr>
        <w:t xml:space="preserve"> Soc. </w:t>
      </w:r>
      <w:r w:rsidRPr="00445C4C">
        <w:rPr>
          <w:rFonts w:ascii="Times New Roman" w:hAnsi="Times New Roman" w:cs="Times New Roman"/>
          <w:sz w:val="20"/>
          <w:szCs w:val="20"/>
        </w:rPr>
        <w:t>265 (2008).</w:t>
      </w:r>
    </w:p>
  </w:footnote>
  <w:footnote w:id="237">
    <w:p w14:paraId="204CD0BE" w14:textId="770904E5" w:rsidR="00802DBC" w:rsidRPr="00134EF5" w:rsidRDefault="00802DBC" w:rsidP="009C704A">
      <w:pPr>
        <w:pStyle w:val="FootnoteText"/>
        <w:ind w:firstLine="144"/>
        <w:jc w:val="both"/>
        <w:rPr>
          <w:rFonts w:ascii="Times New Roman" w:hAnsi="Times New Roman" w:cs="Times New Roman"/>
          <w:sz w:val="20"/>
          <w:szCs w:val="20"/>
        </w:rPr>
      </w:pPr>
      <w:r w:rsidRPr="00445C4C">
        <w:rPr>
          <w:rStyle w:val="FootnoteReference"/>
          <w:rFonts w:ascii="Times New Roman" w:hAnsi="Times New Roman" w:cs="Times New Roman"/>
          <w:sz w:val="20"/>
          <w:szCs w:val="20"/>
        </w:rPr>
        <w:footnoteRef/>
      </w:r>
      <w:r w:rsidRPr="00445C4C">
        <w:rPr>
          <w:rFonts w:ascii="Times New Roman" w:hAnsi="Times New Roman" w:cs="Times New Roman"/>
          <w:sz w:val="20"/>
          <w:szCs w:val="20"/>
        </w:rPr>
        <w:t xml:space="preserve"> This idea is loosely based on the concept of the United Nation</w:t>
      </w:r>
      <w:r>
        <w:rPr>
          <w:rFonts w:ascii="Times New Roman" w:hAnsi="Times New Roman" w:cs="Times New Roman"/>
          <w:sz w:val="20"/>
          <w:szCs w:val="20"/>
        </w:rPr>
        <w:t>’</w:t>
      </w:r>
      <w:r w:rsidRPr="00134EF5">
        <w:rPr>
          <w:rFonts w:ascii="Times New Roman" w:hAnsi="Times New Roman" w:cs="Times New Roman"/>
          <w:sz w:val="20"/>
          <w:szCs w:val="20"/>
        </w:rPr>
        <w:t>s Mediation Support Unit.  More information on this unit can be found at</w:t>
      </w:r>
      <w:r w:rsidRPr="00134EF5">
        <w:rPr>
          <w:rFonts w:ascii="Times New Roman" w:hAnsi="Times New Roman" w:cs="Times New Roman"/>
          <w:smallCaps/>
          <w:sz w:val="20"/>
          <w:szCs w:val="20"/>
        </w:rPr>
        <w:t xml:space="preserve"> </w:t>
      </w:r>
      <w:r w:rsidRPr="00134EF5">
        <w:rPr>
          <w:rFonts w:ascii="Times New Roman" w:hAnsi="Times New Roman" w:cs="Times New Roman"/>
          <w:i/>
          <w:iCs/>
          <w:sz w:val="20"/>
          <w:szCs w:val="20"/>
        </w:rPr>
        <w:t>Prevention and Mediation</w:t>
      </w:r>
      <w:r w:rsidRPr="00134EF5">
        <w:rPr>
          <w:rFonts w:ascii="Times New Roman" w:hAnsi="Times New Roman" w:cs="Times New Roman"/>
          <w:sz w:val="20"/>
          <w:szCs w:val="20"/>
        </w:rPr>
        <w:t xml:space="preserve">, </w:t>
      </w:r>
      <w:r w:rsidRPr="00134EF5">
        <w:rPr>
          <w:rFonts w:ascii="Times New Roman" w:hAnsi="Times New Roman" w:cs="Times New Roman"/>
          <w:smallCaps/>
          <w:sz w:val="20"/>
          <w:szCs w:val="20"/>
        </w:rPr>
        <w:t xml:space="preserve">U.N. Dept. of Pol. </w:t>
      </w:r>
      <w:proofErr w:type="spellStart"/>
      <w:r w:rsidRPr="00134EF5">
        <w:rPr>
          <w:rFonts w:ascii="Times New Roman" w:hAnsi="Times New Roman" w:cs="Times New Roman"/>
          <w:smallCaps/>
          <w:sz w:val="20"/>
          <w:szCs w:val="20"/>
        </w:rPr>
        <w:t>Aff</w:t>
      </w:r>
      <w:proofErr w:type="spellEnd"/>
      <w:r w:rsidRPr="00134EF5">
        <w:rPr>
          <w:rFonts w:ascii="Times New Roman" w:hAnsi="Times New Roman" w:cs="Times New Roman"/>
          <w:smallCaps/>
          <w:sz w:val="20"/>
          <w:szCs w:val="20"/>
        </w:rPr>
        <w:t>.</w:t>
      </w:r>
      <w:r w:rsidRPr="00134EF5">
        <w:rPr>
          <w:rFonts w:ascii="Times New Roman" w:hAnsi="Times New Roman" w:cs="Times New Roman"/>
          <w:sz w:val="20"/>
          <w:szCs w:val="20"/>
        </w:rPr>
        <w:t xml:space="preserve">, http://www.un.org/undpa/en/diplomacy-mediation. </w:t>
      </w:r>
    </w:p>
  </w:footnote>
  <w:footnote w:id="238">
    <w:p w14:paraId="32498593" w14:textId="0EC294A7" w:rsidR="00802DBC" w:rsidRPr="00134EF5" w:rsidRDefault="00802DBC" w:rsidP="005854BC">
      <w:pPr>
        <w:pStyle w:val="FootnoteText"/>
        <w:ind w:firstLine="144"/>
        <w:jc w:val="both"/>
        <w:rPr>
          <w:rFonts w:ascii="Times New Roman" w:hAnsi="Times New Roman" w:cs="Times New Roman"/>
          <w:sz w:val="20"/>
          <w:szCs w:val="20"/>
        </w:rPr>
      </w:pPr>
      <w:r w:rsidRPr="00134EF5">
        <w:rPr>
          <w:rStyle w:val="FootnoteReference"/>
          <w:rFonts w:ascii="Times New Roman" w:hAnsi="Times New Roman" w:cs="Times New Roman"/>
          <w:sz w:val="20"/>
          <w:szCs w:val="20"/>
        </w:rPr>
        <w:footnoteRef/>
      </w:r>
      <w:r w:rsidRPr="00134EF5">
        <w:rPr>
          <w:rFonts w:ascii="Times New Roman" w:hAnsi="Times New Roman" w:cs="Times New Roman"/>
          <w:sz w:val="20"/>
          <w:szCs w:val="20"/>
        </w:rPr>
        <w:t xml:space="preserve"> This idea is based on the significance of maintaining a degree of local ownership in transitional justice processes—if panel members understand the culture of a particular state, they will be more likely to understand the logic behind structuring the ADR mechanism in a specific way.</w:t>
      </w:r>
      <w:r>
        <w:rPr>
          <w:rFonts w:ascii="Times New Roman" w:hAnsi="Times New Roman" w:cs="Times New Roman"/>
          <w:sz w:val="20"/>
          <w:szCs w:val="20"/>
        </w:rPr>
        <w:t xml:space="preserve"> </w:t>
      </w:r>
    </w:p>
  </w:footnote>
  <w:footnote w:id="239">
    <w:p w14:paraId="330446A9" w14:textId="59CD85A3" w:rsidR="00802DBC" w:rsidRPr="00DF383F" w:rsidRDefault="00802DBC" w:rsidP="005854BC">
      <w:pPr>
        <w:pStyle w:val="FootnoteText"/>
        <w:ind w:firstLine="144"/>
        <w:jc w:val="both"/>
        <w:rPr>
          <w:rFonts w:asciiTheme="majorBidi" w:hAnsiTheme="majorBidi" w:cstheme="majorBidi"/>
          <w:sz w:val="20"/>
          <w:szCs w:val="20"/>
        </w:rPr>
      </w:pPr>
      <w:r w:rsidRPr="00134EF5">
        <w:rPr>
          <w:rStyle w:val="FootnoteReference"/>
          <w:rFonts w:ascii="Times New Roman" w:hAnsi="Times New Roman" w:cs="Times New Roman"/>
          <w:sz w:val="20"/>
          <w:szCs w:val="20"/>
        </w:rPr>
        <w:footnoteRef/>
      </w:r>
      <w:r w:rsidRPr="00134EF5">
        <w:rPr>
          <w:rFonts w:ascii="Times New Roman" w:hAnsi="Times New Roman" w:cs="Times New Roman"/>
          <w:sz w:val="20"/>
          <w:szCs w:val="20"/>
        </w:rPr>
        <w:t xml:space="preserve"> It is unclear whether it is better for there to be an established “cut-off point,” i.e. a set number of indicators at which ADR processes become obligatory, or if this sort of thing should be more discretionary and on a case-by-case basis.</w:t>
      </w:r>
      <w:r w:rsidRPr="00DF383F">
        <w:rPr>
          <w:rFonts w:asciiTheme="majorBidi" w:hAnsiTheme="majorBidi" w:cstheme="majorBidi"/>
          <w:sz w:val="20"/>
          <w:szCs w:val="20"/>
        </w:rPr>
        <w:t xml:space="preserve"> </w:t>
      </w:r>
    </w:p>
  </w:footnote>
  <w:footnote w:id="240">
    <w:p w14:paraId="3E8D97F5" w14:textId="68C7840D" w:rsidR="00802DBC" w:rsidRPr="007B2ECC" w:rsidRDefault="00802DBC">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CA2399">
        <w:rPr>
          <w:rFonts w:asciiTheme="majorBidi" w:hAnsiTheme="majorBidi" w:cstheme="majorBidi"/>
          <w:sz w:val="20"/>
          <w:szCs w:val="20"/>
        </w:rPr>
        <w:t xml:space="preserve">ICISS, </w:t>
      </w:r>
      <w:r w:rsidRPr="00DF383F">
        <w:rPr>
          <w:rFonts w:asciiTheme="majorBidi" w:hAnsiTheme="majorBidi" w:cstheme="majorBidi"/>
          <w:i/>
          <w:iCs/>
          <w:sz w:val="20"/>
          <w:szCs w:val="20"/>
        </w:rPr>
        <w:t>supra</w:t>
      </w:r>
      <w:r w:rsidRPr="007B2ECC">
        <w:rPr>
          <w:rFonts w:asciiTheme="majorBidi" w:hAnsiTheme="majorBidi" w:cstheme="majorBidi"/>
          <w:sz w:val="20"/>
          <w:szCs w:val="20"/>
        </w:rPr>
        <w:t xml:space="preserve"> note 4. </w:t>
      </w:r>
    </w:p>
  </w:footnote>
  <w:footnote w:id="241">
    <w:p w14:paraId="2823DD50" w14:textId="4454D625" w:rsidR="00802DBC" w:rsidRPr="00DF383F" w:rsidRDefault="00802DBC">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CA2399">
        <w:rPr>
          <w:rFonts w:asciiTheme="majorBidi" w:hAnsiTheme="majorBidi" w:cstheme="majorBidi"/>
          <w:i/>
          <w:iCs/>
          <w:sz w:val="20"/>
          <w:szCs w:val="20"/>
        </w:rPr>
        <w:t>Id</w:t>
      </w:r>
      <w:r w:rsidRPr="00DF383F">
        <w:rPr>
          <w:rFonts w:asciiTheme="majorBidi" w:hAnsiTheme="majorBidi" w:cstheme="majorBidi"/>
          <w:sz w:val="20"/>
          <w:szCs w:val="20"/>
        </w:rPr>
        <w:t xml:space="preserve">. </w:t>
      </w:r>
    </w:p>
  </w:footnote>
  <w:footnote w:id="242">
    <w:p w14:paraId="0C89E473" w14:textId="200BEE9A" w:rsidR="00802DBC" w:rsidRPr="00102CE6" w:rsidRDefault="00802DBC" w:rsidP="005854BC">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CA2399">
        <w:rPr>
          <w:rFonts w:asciiTheme="majorBidi" w:hAnsiTheme="majorBidi" w:cstheme="majorBidi"/>
          <w:i/>
          <w:iCs/>
          <w:sz w:val="20"/>
          <w:szCs w:val="20"/>
        </w:rPr>
        <w:t>Id</w:t>
      </w:r>
      <w:r w:rsidRPr="00DF383F">
        <w:rPr>
          <w:rFonts w:asciiTheme="majorBidi" w:hAnsiTheme="majorBidi" w:cstheme="majorBidi"/>
          <w:sz w:val="20"/>
          <w:szCs w:val="20"/>
        </w:rPr>
        <w:t>. One of t</w:t>
      </w:r>
      <w:r w:rsidRPr="007B2ECC">
        <w:rPr>
          <w:rFonts w:asciiTheme="majorBidi" w:hAnsiTheme="majorBidi" w:cstheme="majorBidi"/>
          <w:sz w:val="20"/>
          <w:szCs w:val="20"/>
        </w:rPr>
        <w:t>h</w:t>
      </w:r>
      <w:r w:rsidRPr="00102CE6">
        <w:rPr>
          <w:rFonts w:asciiTheme="majorBidi" w:hAnsiTheme="majorBidi" w:cstheme="majorBidi"/>
          <w:sz w:val="20"/>
          <w:szCs w:val="20"/>
        </w:rPr>
        <w:t>e means by which this could be accomplished would be through a Security Council Resolution</w:t>
      </w:r>
      <w:r w:rsidR="005854BC">
        <w:rPr>
          <w:rFonts w:asciiTheme="majorBidi" w:hAnsiTheme="majorBidi" w:cstheme="majorBidi"/>
          <w:sz w:val="20"/>
          <w:szCs w:val="20"/>
        </w:rPr>
        <w:t>.</w:t>
      </w:r>
    </w:p>
  </w:footnote>
  <w:footnote w:id="243">
    <w:p w14:paraId="004614B1" w14:textId="51487963" w:rsidR="00802DBC" w:rsidRPr="00102CE6" w:rsidRDefault="00802DBC">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CA2399">
        <w:rPr>
          <w:rFonts w:asciiTheme="majorBidi" w:hAnsiTheme="majorBidi" w:cstheme="majorBidi"/>
          <w:i/>
          <w:iCs/>
          <w:sz w:val="20"/>
          <w:szCs w:val="20"/>
        </w:rPr>
        <w:t>See generally</w:t>
      </w:r>
      <w:r>
        <w:rPr>
          <w:rFonts w:asciiTheme="majorBidi" w:hAnsiTheme="majorBidi" w:cstheme="majorBidi"/>
          <w:sz w:val="20"/>
          <w:szCs w:val="20"/>
        </w:rPr>
        <w:t xml:space="preserve"> </w:t>
      </w:r>
      <w:proofErr w:type="spellStart"/>
      <w:r w:rsidRPr="00DF383F">
        <w:rPr>
          <w:rFonts w:asciiTheme="majorBidi" w:hAnsiTheme="majorBidi" w:cstheme="majorBidi"/>
          <w:sz w:val="20"/>
          <w:szCs w:val="20"/>
        </w:rPr>
        <w:t>Meierhenrich</w:t>
      </w:r>
      <w:proofErr w:type="spellEnd"/>
      <w:r w:rsidRPr="00DF383F">
        <w:rPr>
          <w:rFonts w:asciiTheme="majorBidi" w:hAnsiTheme="majorBidi" w:cstheme="majorBidi"/>
          <w:sz w:val="20"/>
          <w:szCs w:val="20"/>
        </w:rPr>
        <w:t xml:space="preserve">, </w:t>
      </w:r>
      <w:r w:rsidRPr="007B2ECC">
        <w:rPr>
          <w:rFonts w:asciiTheme="majorBidi" w:hAnsiTheme="majorBidi" w:cstheme="majorBidi"/>
          <w:i/>
          <w:iCs/>
          <w:sz w:val="20"/>
          <w:szCs w:val="20"/>
        </w:rPr>
        <w:t>supra</w:t>
      </w:r>
      <w:r>
        <w:rPr>
          <w:rFonts w:asciiTheme="majorBidi" w:hAnsiTheme="majorBidi" w:cstheme="majorBidi"/>
          <w:sz w:val="20"/>
          <w:szCs w:val="20"/>
        </w:rPr>
        <w:t xml:space="preserve"> note 146</w:t>
      </w:r>
      <w:r w:rsidRPr="00102CE6">
        <w:rPr>
          <w:rFonts w:asciiTheme="majorBidi" w:hAnsiTheme="majorBidi" w:cstheme="majorBidi"/>
          <w:sz w:val="20"/>
          <w:szCs w:val="20"/>
        </w:rPr>
        <w:t>.</w:t>
      </w:r>
    </w:p>
  </w:footnote>
  <w:footnote w:id="244">
    <w:p w14:paraId="7AB372C8" w14:textId="77D544C7" w:rsidR="00802DBC" w:rsidRPr="00102CE6" w:rsidRDefault="00802DBC">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CA2399">
        <w:rPr>
          <w:rFonts w:asciiTheme="majorBidi" w:hAnsiTheme="majorBidi" w:cstheme="majorBidi"/>
          <w:i/>
          <w:iCs/>
          <w:sz w:val="20"/>
          <w:szCs w:val="20"/>
        </w:rPr>
        <w:t xml:space="preserve">See </w:t>
      </w:r>
      <w:r w:rsidRPr="00DF383F">
        <w:rPr>
          <w:rFonts w:asciiTheme="majorBidi" w:hAnsiTheme="majorBidi" w:cstheme="majorBidi"/>
          <w:sz w:val="20"/>
          <w:szCs w:val="20"/>
        </w:rPr>
        <w:t xml:space="preserve">Lundy &amp; McGovern, </w:t>
      </w:r>
      <w:r w:rsidRPr="007B2ECC">
        <w:rPr>
          <w:rFonts w:asciiTheme="majorBidi" w:hAnsiTheme="majorBidi" w:cstheme="majorBidi"/>
          <w:i/>
          <w:iCs/>
          <w:sz w:val="20"/>
          <w:szCs w:val="20"/>
        </w:rPr>
        <w:t>supra</w:t>
      </w:r>
      <w:r>
        <w:rPr>
          <w:rFonts w:asciiTheme="majorBidi" w:hAnsiTheme="majorBidi" w:cstheme="majorBidi"/>
          <w:sz w:val="20"/>
          <w:szCs w:val="20"/>
        </w:rPr>
        <w:t xml:space="preserve"> note 233, at 268</w:t>
      </w:r>
      <w:r w:rsidRPr="00102CE6">
        <w:rPr>
          <w:rFonts w:asciiTheme="majorBidi" w:hAnsiTheme="majorBidi" w:cstheme="majorBidi"/>
          <w:sz w:val="20"/>
          <w:szCs w:val="20"/>
        </w:rPr>
        <w:t xml:space="preserve">. </w:t>
      </w:r>
    </w:p>
  </w:footnote>
  <w:footnote w:id="245">
    <w:p w14:paraId="402B5DF6" w14:textId="1772AB10" w:rsidR="00802DBC" w:rsidRPr="00102CE6" w:rsidRDefault="00802DBC">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CA2399">
        <w:rPr>
          <w:rFonts w:asciiTheme="majorBidi" w:hAnsiTheme="majorBidi" w:cstheme="majorBidi"/>
          <w:i/>
          <w:iCs/>
          <w:sz w:val="20"/>
          <w:szCs w:val="20"/>
        </w:rPr>
        <w:t>See</w:t>
      </w:r>
      <w:r w:rsidRPr="00DF383F">
        <w:rPr>
          <w:rFonts w:asciiTheme="majorBidi" w:hAnsiTheme="majorBidi" w:cstheme="majorBidi"/>
          <w:sz w:val="20"/>
          <w:szCs w:val="20"/>
        </w:rPr>
        <w:t xml:space="preserve"> Cook &amp; Emerson, </w:t>
      </w:r>
      <w:r w:rsidRPr="007B2ECC">
        <w:rPr>
          <w:rFonts w:asciiTheme="majorBidi" w:hAnsiTheme="majorBidi" w:cstheme="majorBidi"/>
          <w:i/>
          <w:iCs/>
          <w:sz w:val="20"/>
          <w:szCs w:val="20"/>
        </w:rPr>
        <w:t>supra</w:t>
      </w:r>
      <w:r>
        <w:rPr>
          <w:rFonts w:asciiTheme="majorBidi" w:hAnsiTheme="majorBidi" w:cstheme="majorBidi"/>
          <w:sz w:val="20"/>
          <w:szCs w:val="20"/>
        </w:rPr>
        <w:t xml:space="preserve"> note 20</w:t>
      </w:r>
      <w:r w:rsidRPr="00102CE6">
        <w:rPr>
          <w:rFonts w:asciiTheme="majorBidi" w:hAnsiTheme="majorBidi" w:cstheme="majorBidi"/>
          <w:sz w:val="20"/>
          <w:szCs w:val="20"/>
        </w:rPr>
        <w:t xml:space="preserve">. </w:t>
      </w:r>
    </w:p>
  </w:footnote>
  <w:footnote w:id="246">
    <w:p w14:paraId="158BFC13" w14:textId="660D4CEE" w:rsidR="00802DBC" w:rsidRPr="00DF383F" w:rsidRDefault="00802DBC" w:rsidP="00445C4C">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CA2399">
        <w:rPr>
          <w:rFonts w:asciiTheme="majorBidi" w:hAnsiTheme="majorBidi" w:cstheme="majorBidi"/>
          <w:i/>
          <w:iCs/>
          <w:sz w:val="20"/>
          <w:szCs w:val="20"/>
        </w:rPr>
        <w:t>See id</w:t>
      </w:r>
      <w:r w:rsidRPr="00DF383F">
        <w:rPr>
          <w:rFonts w:asciiTheme="majorBidi" w:hAnsiTheme="majorBidi" w:cstheme="majorBidi"/>
          <w:sz w:val="20"/>
          <w:szCs w:val="20"/>
        </w:rPr>
        <w:t xml:space="preserve">. </w:t>
      </w:r>
    </w:p>
  </w:footnote>
  <w:footnote w:id="247">
    <w:p w14:paraId="07CE7295" w14:textId="55CD46D1" w:rsidR="00802DBC" w:rsidRPr="00102CE6" w:rsidRDefault="00802DBC" w:rsidP="00445C4C">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CA2399">
        <w:rPr>
          <w:rFonts w:asciiTheme="majorBidi" w:hAnsiTheme="majorBidi" w:cstheme="majorBidi"/>
          <w:i/>
          <w:iCs/>
          <w:sz w:val="20"/>
          <w:szCs w:val="20"/>
        </w:rPr>
        <w:t xml:space="preserve">See </w:t>
      </w:r>
      <w:r w:rsidRPr="00DF383F">
        <w:rPr>
          <w:rFonts w:asciiTheme="majorBidi" w:hAnsiTheme="majorBidi" w:cstheme="majorBidi"/>
          <w:smallCaps/>
          <w:sz w:val="20"/>
          <w:szCs w:val="20"/>
        </w:rPr>
        <w:t xml:space="preserve">Waller, </w:t>
      </w:r>
      <w:r w:rsidRPr="007B2ECC">
        <w:rPr>
          <w:rFonts w:asciiTheme="majorBidi" w:hAnsiTheme="majorBidi" w:cstheme="majorBidi"/>
          <w:i/>
          <w:iCs/>
          <w:sz w:val="20"/>
          <w:szCs w:val="20"/>
        </w:rPr>
        <w:t>supr</w:t>
      </w:r>
      <w:r w:rsidRPr="00102CE6">
        <w:rPr>
          <w:rFonts w:asciiTheme="majorBidi" w:hAnsiTheme="majorBidi" w:cstheme="majorBidi"/>
          <w:i/>
          <w:iCs/>
          <w:sz w:val="20"/>
          <w:szCs w:val="20"/>
        </w:rPr>
        <w:t>a</w:t>
      </w:r>
      <w:r>
        <w:rPr>
          <w:rFonts w:asciiTheme="majorBidi" w:hAnsiTheme="majorBidi" w:cstheme="majorBidi"/>
          <w:sz w:val="20"/>
          <w:szCs w:val="20"/>
        </w:rPr>
        <w:t xml:space="preserve"> note 224</w:t>
      </w:r>
      <w:r w:rsidRPr="00102CE6">
        <w:rPr>
          <w:rFonts w:asciiTheme="majorBidi" w:hAnsiTheme="majorBidi" w:cstheme="majorBidi"/>
          <w:sz w:val="20"/>
          <w:szCs w:val="20"/>
        </w:rPr>
        <w:t>.</w:t>
      </w:r>
    </w:p>
  </w:footnote>
  <w:footnote w:id="248">
    <w:p w14:paraId="515C39A8" w14:textId="6D3E9518" w:rsidR="00802DBC" w:rsidRPr="00EF740A" w:rsidRDefault="00802DBC" w:rsidP="009C704A">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445C4C">
        <w:rPr>
          <w:rFonts w:asciiTheme="majorBidi" w:hAnsiTheme="majorBidi" w:cstheme="majorBidi"/>
          <w:smallCaps/>
          <w:sz w:val="20"/>
          <w:szCs w:val="20"/>
        </w:rPr>
        <w:t xml:space="preserve">Van </w:t>
      </w:r>
      <w:proofErr w:type="spellStart"/>
      <w:r w:rsidRPr="00445C4C">
        <w:rPr>
          <w:rFonts w:asciiTheme="majorBidi" w:hAnsiTheme="majorBidi" w:cstheme="majorBidi"/>
          <w:smallCaps/>
          <w:sz w:val="20"/>
          <w:szCs w:val="20"/>
        </w:rPr>
        <w:t>Schaack</w:t>
      </w:r>
      <w:proofErr w:type="spellEnd"/>
      <w:r w:rsidRPr="00445C4C">
        <w:rPr>
          <w:rFonts w:asciiTheme="majorBidi" w:hAnsiTheme="majorBidi" w:cstheme="majorBidi"/>
          <w:smallCaps/>
          <w:sz w:val="20"/>
          <w:szCs w:val="20"/>
        </w:rPr>
        <w:t xml:space="preserve"> &amp; </w:t>
      </w:r>
      <w:proofErr w:type="spellStart"/>
      <w:r w:rsidRPr="00445C4C">
        <w:rPr>
          <w:rFonts w:asciiTheme="majorBidi" w:hAnsiTheme="majorBidi" w:cstheme="majorBidi"/>
          <w:smallCaps/>
          <w:sz w:val="20"/>
          <w:szCs w:val="20"/>
        </w:rPr>
        <w:t>Slye</w:t>
      </w:r>
      <w:proofErr w:type="spellEnd"/>
      <w:r w:rsidRPr="00445C4C">
        <w:rPr>
          <w:rFonts w:asciiTheme="majorBidi" w:hAnsiTheme="majorBidi" w:cstheme="majorBidi"/>
          <w:smallCaps/>
          <w:sz w:val="20"/>
          <w:szCs w:val="20"/>
        </w:rPr>
        <w:t xml:space="preserve">, </w:t>
      </w:r>
      <w:r w:rsidRPr="00445C4C">
        <w:rPr>
          <w:rFonts w:asciiTheme="majorBidi" w:hAnsiTheme="majorBidi" w:cstheme="majorBidi"/>
          <w:i/>
          <w:iCs/>
          <w:sz w:val="20"/>
          <w:szCs w:val="20"/>
        </w:rPr>
        <w:t>supra</w:t>
      </w:r>
      <w:r>
        <w:rPr>
          <w:rFonts w:asciiTheme="majorBidi" w:hAnsiTheme="majorBidi" w:cstheme="majorBidi"/>
          <w:sz w:val="20"/>
          <w:szCs w:val="20"/>
        </w:rPr>
        <w:t xml:space="preserve"> note 71</w:t>
      </w:r>
      <w:r w:rsidRPr="00445C4C">
        <w:rPr>
          <w:rFonts w:asciiTheme="majorBidi" w:hAnsiTheme="majorBidi" w:cstheme="majorBidi"/>
          <w:sz w:val="20"/>
          <w:szCs w:val="20"/>
        </w:rPr>
        <w:t xml:space="preserve">. </w:t>
      </w:r>
    </w:p>
  </w:footnote>
  <w:footnote w:id="249">
    <w:p w14:paraId="491BA354" w14:textId="77D1E131" w:rsidR="00802DBC" w:rsidRPr="00445C4C" w:rsidRDefault="00802DBC" w:rsidP="00445C4C">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445C4C">
        <w:rPr>
          <w:rFonts w:asciiTheme="majorBidi" w:hAnsiTheme="majorBidi" w:cstheme="majorBidi"/>
          <w:smallCaps/>
          <w:sz w:val="20"/>
          <w:szCs w:val="20"/>
        </w:rPr>
        <w:t xml:space="preserve">Straus, </w:t>
      </w:r>
      <w:r w:rsidRPr="00445C4C">
        <w:rPr>
          <w:rFonts w:asciiTheme="majorBidi" w:hAnsiTheme="majorBidi" w:cstheme="majorBidi"/>
          <w:i/>
          <w:iCs/>
          <w:sz w:val="20"/>
          <w:szCs w:val="20"/>
        </w:rPr>
        <w:t>supra</w:t>
      </w:r>
      <w:r w:rsidRPr="00445C4C">
        <w:rPr>
          <w:rFonts w:asciiTheme="majorBidi" w:hAnsiTheme="majorBidi" w:cstheme="majorBidi"/>
          <w:sz w:val="20"/>
          <w:szCs w:val="20"/>
        </w:rPr>
        <w:t xml:space="preserve"> note</w:t>
      </w:r>
      <w:r w:rsidRPr="00445C4C">
        <w:rPr>
          <w:rFonts w:asciiTheme="majorBidi" w:hAnsiTheme="majorBidi" w:cstheme="majorBidi"/>
          <w:smallCaps/>
          <w:sz w:val="20"/>
          <w:szCs w:val="20"/>
        </w:rPr>
        <w:t xml:space="preserve"> 5.</w:t>
      </w:r>
    </w:p>
  </w:footnote>
  <w:footnote w:id="250">
    <w:p w14:paraId="70304F42" w14:textId="2AE63FDB" w:rsidR="00802DBC" w:rsidRPr="007B2ECC" w:rsidRDefault="00802DBC" w:rsidP="009C704A">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sidRPr="00CA2399">
        <w:rPr>
          <w:rFonts w:asciiTheme="majorBidi" w:hAnsiTheme="majorBidi" w:cstheme="majorBidi"/>
          <w:sz w:val="20"/>
          <w:szCs w:val="20"/>
        </w:rPr>
        <w:t xml:space="preserve">ICISS, </w:t>
      </w:r>
      <w:r w:rsidRPr="00DF383F">
        <w:rPr>
          <w:rFonts w:asciiTheme="majorBidi" w:hAnsiTheme="majorBidi" w:cstheme="majorBidi"/>
          <w:i/>
          <w:iCs/>
          <w:sz w:val="20"/>
          <w:szCs w:val="20"/>
        </w:rPr>
        <w:t>supra</w:t>
      </w:r>
      <w:r w:rsidRPr="007B2ECC">
        <w:rPr>
          <w:rFonts w:asciiTheme="majorBidi" w:hAnsiTheme="majorBidi" w:cstheme="majorBidi"/>
          <w:sz w:val="20"/>
          <w:szCs w:val="20"/>
        </w:rPr>
        <w:t xml:space="preserve"> note 4.</w:t>
      </w:r>
    </w:p>
  </w:footnote>
  <w:footnote w:id="251">
    <w:p w14:paraId="6CB08900" w14:textId="0A4F8D36" w:rsidR="00802DBC" w:rsidRPr="007B2ECC" w:rsidRDefault="00802DBC">
      <w:pPr>
        <w:pStyle w:val="FootnoteText"/>
        <w:ind w:firstLine="144"/>
        <w:jc w:val="both"/>
        <w:rPr>
          <w:rFonts w:asciiTheme="majorBidi" w:hAnsiTheme="majorBidi" w:cstheme="majorBidi"/>
          <w:sz w:val="20"/>
          <w:szCs w:val="20"/>
        </w:rPr>
      </w:pPr>
      <w:r w:rsidRPr="00EF740A">
        <w:rPr>
          <w:rStyle w:val="FootnoteReference"/>
          <w:rFonts w:asciiTheme="majorBidi" w:hAnsiTheme="majorBidi" w:cstheme="majorBidi"/>
          <w:sz w:val="20"/>
          <w:szCs w:val="20"/>
        </w:rPr>
        <w:footnoteRef/>
      </w:r>
      <w:r w:rsidRPr="00EF740A">
        <w:rPr>
          <w:rFonts w:asciiTheme="majorBidi" w:hAnsiTheme="majorBidi" w:cstheme="majorBidi"/>
          <w:sz w:val="20"/>
          <w:szCs w:val="20"/>
        </w:rPr>
        <w:t xml:space="preserve"> </w:t>
      </w:r>
      <w:r>
        <w:rPr>
          <w:rFonts w:asciiTheme="majorBidi" w:hAnsiTheme="majorBidi" w:cstheme="majorBidi"/>
          <w:sz w:val="20"/>
          <w:szCs w:val="20"/>
        </w:rPr>
        <w:t>U.N.</w:t>
      </w:r>
      <w:r w:rsidRPr="00CA2399">
        <w:rPr>
          <w:rFonts w:asciiTheme="majorBidi" w:hAnsiTheme="majorBidi" w:cstheme="majorBidi"/>
          <w:sz w:val="20"/>
          <w:szCs w:val="20"/>
        </w:rPr>
        <w:t xml:space="preserve"> Framework of Analysis, </w:t>
      </w:r>
      <w:r w:rsidRPr="00DF383F">
        <w:rPr>
          <w:rFonts w:asciiTheme="majorBidi" w:hAnsiTheme="majorBidi" w:cstheme="majorBidi"/>
          <w:i/>
          <w:iCs/>
          <w:sz w:val="20"/>
          <w:szCs w:val="20"/>
        </w:rPr>
        <w:t>supra</w:t>
      </w:r>
      <w:r>
        <w:rPr>
          <w:rFonts w:asciiTheme="majorBidi" w:hAnsiTheme="majorBidi" w:cstheme="majorBidi"/>
          <w:sz w:val="20"/>
          <w:szCs w:val="20"/>
        </w:rPr>
        <w:t xml:space="preserve"> note 19</w:t>
      </w:r>
      <w:r w:rsidRPr="007B2ECC">
        <w:rPr>
          <w:rFonts w:asciiTheme="majorBidi" w:hAnsiTheme="majorBidi" w:cstheme="majorBidi"/>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A96FA" w14:textId="1039B07D" w:rsidR="00802DBC" w:rsidRPr="006054BD" w:rsidRDefault="00802DBC" w:rsidP="006054BD">
    <w:pPr>
      <w:pStyle w:val="Header"/>
      <w:jc w:val="right"/>
      <w:rPr>
        <w:rFonts w:asciiTheme="majorBidi" w:hAnsiTheme="majorBidi" w:cstheme="majorBid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4AF1"/>
    <w:multiLevelType w:val="multilevel"/>
    <w:tmpl w:val="740670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F84B7A"/>
    <w:multiLevelType w:val="hybridMultilevel"/>
    <w:tmpl w:val="5B14AAD4"/>
    <w:lvl w:ilvl="0" w:tplc="F4260E0A">
      <w:start w:val="1"/>
      <w:numFmt w:val="upperLetter"/>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36679D"/>
    <w:multiLevelType w:val="hybridMultilevel"/>
    <w:tmpl w:val="D772EE94"/>
    <w:lvl w:ilvl="0" w:tplc="25EC4F1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D417283"/>
    <w:multiLevelType w:val="hybridMultilevel"/>
    <w:tmpl w:val="6D8052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7F08D4"/>
    <w:multiLevelType w:val="multilevel"/>
    <w:tmpl w:val="D974D3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335E65"/>
    <w:multiLevelType w:val="hybridMultilevel"/>
    <w:tmpl w:val="16CC0D6E"/>
    <w:lvl w:ilvl="0" w:tplc="A154B0B4">
      <w:start w:val="1"/>
      <w:numFmt w:val="upperLetter"/>
      <w:lvlText w:val="%1."/>
      <w:lvlJc w:val="left"/>
      <w:pPr>
        <w:ind w:left="477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FA45314"/>
    <w:multiLevelType w:val="hybridMultilevel"/>
    <w:tmpl w:val="DD0A602E"/>
    <w:lvl w:ilvl="0" w:tplc="468E49C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C8D2FA8"/>
    <w:multiLevelType w:val="hybridMultilevel"/>
    <w:tmpl w:val="4AF64932"/>
    <w:lvl w:ilvl="0" w:tplc="7A38456C">
      <w:start w:val="1"/>
      <w:numFmt w:val="upperRoman"/>
      <w:lvlText w:val="%1."/>
      <w:lvlJc w:val="left"/>
      <w:pPr>
        <w:ind w:left="1080" w:hanging="72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89391B"/>
    <w:multiLevelType w:val="hybridMultilevel"/>
    <w:tmpl w:val="61AA4E4C"/>
    <w:lvl w:ilvl="0" w:tplc="3520644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0"/>
  </w:num>
  <w:num w:numId="3">
    <w:abstractNumId w:val="4"/>
  </w:num>
  <w:num w:numId="4">
    <w:abstractNumId w:val="3"/>
  </w:num>
  <w:num w:numId="5">
    <w:abstractNumId w:val="1"/>
  </w:num>
  <w:num w:numId="6">
    <w:abstractNumId w:val="8"/>
  </w:num>
  <w:num w:numId="7">
    <w:abstractNumId w:val="2"/>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86E"/>
    <w:rsid w:val="000009CC"/>
    <w:rsid w:val="00000DCC"/>
    <w:rsid w:val="00000EFC"/>
    <w:rsid w:val="0000165B"/>
    <w:rsid w:val="00002247"/>
    <w:rsid w:val="00002D7F"/>
    <w:rsid w:val="00002DDD"/>
    <w:rsid w:val="000038E2"/>
    <w:rsid w:val="00006FD7"/>
    <w:rsid w:val="000073F1"/>
    <w:rsid w:val="00010EB4"/>
    <w:rsid w:val="000115E8"/>
    <w:rsid w:val="00012376"/>
    <w:rsid w:val="000130D5"/>
    <w:rsid w:val="000155E9"/>
    <w:rsid w:val="00015BAD"/>
    <w:rsid w:val="00015CF4"/>
    <w:rsid w:val="000166A3"/>
    <w:rsid w:val="00016846"/>
    <w:rsid w:val="00016C7D"/>
    <w:rsid w:val="00016CE1"/>
    <w:rsid w:val="00017CC2"/>
    <w:rsid w:val="00017F0E"/>
    <w:rsid w:val="00022619"/>
    <w:rsid w:val="000226B6"/>
    <w:rsid w:val="00024F79"/>
    <w:rsid w:val="00025238"/>
    <w:rsid w:val="000264E4"/>
    <w:rsid w:val="00027E19"/>
    <w:rsid w:val="00030318"/>
    <w:rsid w:val="00030678"/>
    <w:rsid w:val="00031806"/>
    <w:rsid w:val="00032041"/>
    <w:rsid w:val="00033022"/>
    <w:rsid w:val="000333B3"/>
    <w:rsid w:val="00033532"/>
    <w:rsid w:val="00034A80"/>
    <w:rsid w:val="00036261"/>
    <w:rsid w:val="00037693"/>
    <w:rsid w:val="0003791C"/>
    <w:rsid w:val="00040A84"/>
    <w:rsid w:val="00041D0D"/>
    <w:rsid w:val="000426DD"/>
    <w:rsid w:val="0004494D"/>
    <w:rsid w:val="00044F8A"/>
    <w:rsid w:val="000453B7"/>
    <w:rsid w:val="00046E42"/>
    <w:rsid w:val="00047DD9"/>
    <w:rsid w:val="000512FF"/>
    <w:rsid w:val="0005283B"/>
    <w:rsid w:val="00052D01"/>
    <w:rsid w:val="00056505"/>
    <w:rsid w:val="0005731A"/>
    <w:rsid w:val="00057332"/>
    <w:rsid w:val="00060104"/>
    <w:rsid w:val="0006024F"/>
    <w:rsid w:val="00061C8F"/>
    <w:rsid w:val="000622DD"/>
    <w:rsid w:val="00062BF1"/>
    <w:rsid w:val="000648E0"/>
    <w:rsid w:val="0006623F"/>
    <w:rsid w:val="000676F5"/>
    <w:rsid w:val="00070EF7"/>
    <w:rsid w:val="00071B58"/>
    <w:rsid w:val="0007238B"/>
    <w:rsid w:val="000727A0"/>
    <w:rsid w:val="000727DC"/>
    <w:rsid w:val="00072CD9"/>
    <w:rsid w:val="00072D42"/>
    <w:rsid w:val="00073BA4"/>
    <w:rsid w:val="00074700"/>
    <w:rsid w:val="00076643"/>
    <w:rsid w:val="0007745B"/>
    <w:rsid w:val="00080D23"/>
    <w:rsid w:val="000812F1"/>
    <w:rsid w:val="00081463"/>
    <w:rsid w:val="00081ECD"/>
    <w:rsid w:val="00082250"/>
    <w:rsid w:val="00083716"/>
    <w:rsid w:val="000838D3"/>
    <w:rsid w:val="000845E1"/>
    <w:rsid w:val="00085AD9"/>
    <w:rsid w:val="0008761B"/>
    <w:rsid w:val="0008765F"/>
    <w:rsid w:val="000909C4"/>
    <w:rsid w:val="00092B97"/>
    <w:rsid w:val="00093269"/>
    <w:rsid w:val="00095D66"/>
    <w:rsid w:val="00097508"/>
    <w:rsid w:val="000A054E"/>
    <w:rsid w:val="000A1EBD"/>
    <w:rsid w:val="000A1FE2"/>
    <w:rsid w:val="000A2124"/>
    <w:rsid w:val="000A2828"/>
    <w:rsid w:val="000A7C2E"/>
    <w:rsid w:val="000B035C"/>
    <w:rsid w:val="000B0575"/>
    <w:rsid w:val="000B08FF"/>
    <w:rsid w:val="000B178D"/>
    <w:rsid w:val="000B1E4C"/>
    <w:rsid w:val="000B281C"/>
    <w:rsid w:val="000B40E7"/>
    <w:rsid w:val="000B5B8B"/>
    <w:rsid w:val="000B6580"/>
    <w:rsid w:val="000B65D3"/>
    <w:rsid w:val="000B73EC"/>
    <w:rsid w:val="000C04E4"/>
    <w:rsid w:val="000C4D14"/>
    <w:rsid w:val="000C52D7"/>
    <w:rsid w:val="000C548E"/>
    <w:rsid w:val="000C5C09"/>
    <w:rsid w:val="000D0B07"/>
    <w:rsid w:val="000D102D"/>
    <w:rsid w:val="000D1092"/>
    <w:rsid w:val="000D1F28"/>
    <w:rsid w:val="000D3E43"/>
    <w:rsid w:val="000D5E31"/>
    <w:rsid w:val="000D6C4F"/>
    <w:rsid w:val="000E18BE"/>
    <w:rsid w:val="000E1FDA"/>
    <w:rsid w:val="000E43A0"/>
    <w:rsid w:val="000E497A"/>
    <w:rsid w:val="000E5836"/>
    <w:rsid w:val="000F1860"/>
    <w:rsid w:val="000F2805"/>
    <w:rsid w:val="000F2EC3"/>
    <w:rsid w:val="000F320A"/>
    <w:rsid w:val="000F4B81"/>
    <w:rsid w:val="00100F37"/>
    <w:rsid w:val="00101F49"/>
    <w:rsid w:val="00102AD0"/>
    <w:rsid w:val="00102CDB"/>
    <w:rsid w:val="00102CE6"/>
    <w:rsid w:val="00104121"/>
    <w:rsid w:val="0010513C"/>
    <w:rsid w:val="00105584"/>
    <w:rsid w:val="00110B34"/>
    <w:rsid w:val="00110CA8"/>
    <w:rsid w:val="00111B01"/>
    <w:rsid w:val="00112D2C"/>
    <w:rsid w:val="00114CB8"/>
    <w:rsid w:val="00114FC6"/>
    <w:rsid w:val="00115F0B"/>
    <w:rsid w:val="00117E76"/>
    <w:rsid w:val="001200B8"/>
    <w:rsid w:val="001206DE"/>
    <w:rsid w:val="00121B02"/>
    <w:rsid w:val="00121DD2"/>
    <w:rsid w:val="00124298"/>
    <w:rsid w:val="001242D7"/>
    <w:rsid w:val="00124D37"/>
    <w:rsid w:val="00124FFC"/>
    <w:rsid w:val="001264E5"/>
    <w:rsid w:val="001267DB"/>
    <w:rsid w:val="001309EC"/>
    <w:rsid w:val="001313A2"/>
    <w:rsid w:val="00131EC6"/>
    <w:rsid w:val="00132698"/>
    <w:rsid w:val="0013396D"/>
    <w:rsid w:val="00133B5A"/>
    <w:rsid w:val="00134EF5"/>
    <w:rsid w:val="00135428"/>
    <w:rsid w:val="00136D2B"/>
    <w:rsid w:val="00137934"/>
    <w:rsid w:val="00140F13"/>
    <w:rsid w:val="00141633"/>
    <w:rsid w:val="001423C2"/>
    <w:rsid w:val="0014567D"/>
    <w:rsid w:val="00146000"/>
    <w:rsid w:val="00147271"/>
    <w:rsid w:val="00147676"/>
    <w:rsid w:val="00147EF9"/>
    <w:rsid w:val="001502C9"/>
    <w:rsid w:val="00151381"/>
    <w:rsid w:val="001517C2"/>
    <w:rsid w:val="00153C1E"/>
    <w:rsid w:val="001541CA"/>
    <w:rsid w:val="001544E5"/>
    <w:rsid w:val="00154C8F"/>
    <w:rsid w:val="00162103"/>
    <w:rsid w:val="0016270E"/>
    <w:rsid w:val="001648AE"/>
    <w:rsid w:val="001654D7"/>
    <w:rsid w:val="00165750"/>
    <w:rsid w:val="001674FB"/>
    <w:rsid w:val="00167F38"/>
    <w:rsid w:val="00172185"/>
    <w:rsid w:val="00173C9E"/>
    <w:rsid w:val="00174BDC"/>
    <w:rsid w:val="001771E2"/>
    <w:rsid w:val="001806AE"/>
    <w:rsid w:val="00181EB7"/>
    <w:rsid w:val="00182459"/>
    <w:rsid w:val="001836A8"/>
    <w:rsid w:val="00184FDB"/>
    <w:rsid w:val="00185F1B"/>
    <w:rsid w:val="00186867"/>
    <w:rsid w:val="001872A6"/>
    <w:rsid w:val="00190C32"/>
    <w:rsid w:val="00192B37"/>
    <w:rsid w:val="001960E9"/>
    <w:rsid w:val="001A0AA8"/>
    <w:rsid w:val="001A0B51"/>
    <w:rsid w:val="001A132A"/>
    <w:rsid w:val="001A1B99"/>
    <w:rsid w:val="001A2722"/>
    <w:rsid w:val="001A2AC5"/>
    <w:rsid w:val="001A3B6C"/>
    <w:rsid w:val="001A45B8"/>
    <w:rsid w:val="001A4D4E"/>
    <w:rsid w:val="001B2559"/>
    <w:rsid w:val="001B34EB"/>
    <w:rsid w:val="001B501E"/>
    <w:rsid w:val="001B7D61"/>
    <w:rsid w:val="001B7ECF"/>
    <w:rsid w:val="001C0B41"/>
    <w:rsid w:val="001C1123"/>
    <w:rsid w:val="001C2C20"/>
    <w:rsid w:val="001C3D09"/>
    <w:rsid w:val="001C50F0"/>
    <w:rsid w:val="001C587F"/>
    <w:rsid w:val="001C6540"/>
    <w:rsid w:val="001C72EF"/>
    <w:rsid w:val="001D0798"/>
    <w:rsid w:val="001D1419"/>
    <w:rsid w:val="001D1D27"/>
    <w:rsid w:val="001D5A24"/>
    <w:rsid w:val="001D65F4"/>
    <w:rsid w:val="001D6B05"/>
    <w:rsid w:val="001D70F3"/>
    <w:rsid w:val="001E1338"/>
    <w:rsid w:val="001E17A8"/>
    <w:rsid w:val="001E24E5"/>
    <w:rsid w:val="001E365A"/>
    <w:rsid w:val="001E5B05"/>
    <w:rsid w:val="001E60C6"/>
    <w:rsid w:val="001E69D3"/>
    <w:rsid w:val="001E6E6F"/>
    <w:rsid w:val="001E7092"/>
    <w:rsid w:val="001F0B25"/>
    <w:rsid w:val="001F1483"/>
    <w:rsid w:val="001F1CE5"/>
    <w:rsid w:val="001F2EFA"/>
    <w:rsid w:val="001F4198"/>
    <w:rsid w:val="001F640F"/>
    <w:rsid w:val="001F6479"/>
    <w:rsid w:val="001F7642"/>
    <w:rsid w:val="00201714"/>
    <w:rsid w:val="00202534"/>
    <w:rsid w:val="00202EE8"/>
    <w:rsid w:val="002056B5"/>
    <w:rsid w:val="002107FE"/>
    <w:rsid w:val="00212957"/>
    <w:rsid w:val="002137A3"/>
    <w:rsid w:val="00213806"/>
    <w:rsid w:val="0021460A"/>
    <w:rsid w:val="002164D0"/>
    <w:rsid w:val="002176D6"/>
    <w:rsid w:val="00222C55"/>
    <w:rsid w:val="00222D0A"/>
    <w:rsid w:val="00224946"/>
    <w:rsid w:val="0022782F"/>
    <w:rsid w:val="002308DC"/>
    <w:rsid w:val="00230E3A"/>
    <w:rsid w:val="002323FA"/>
    <w:rsid w:val="002324DB"/>
    <w:rsid w:val="00232897"/>
    <w:rsid w:val="00232DCD"/>
    <w:rsid w:val="00233B0D"/>
    <w:rsid w:val="00233CB3"/>
    <w:rsid w:val="002341C1"/>
    <w:rsid w:val="00234752"/>
    <w:rsid w:val="00234CC4"/>
    <w:rsid w:val="0023716F"/>
    <w:rsid w:val="002373AB"/>
    <w:rsid w:val="00240A5A"/>
    <w:rsid w:val="002419EE"/>
    <w:rsid w:val="00242EEE"/>
    <w:rsid w:val="00243467"/>
    <w:rsid w:val="002445DE"/>
    <w:rsid w:val="00244710"/>
    <w:rsid w:val="00244ACD"/>
    <w:rsid w:val="00246DEB"/>
    <w:rsid w:val="00250BDC"/>
    <w:rsid w:val="00252903"/>
    <w:rsid w:val="00252FFF"/>
    <w:rsid w:val="00255156"/>
    <w:rsid w:val="00257212"/>
    <w:rsid w:val="002577BE"/>
    <w:rsid w:val="0026048A"/>
    <w:rsid w:val="002608A8"/>
    <w:rsid w:val="00260F64"/>
    <w:rsid w:val="002633CF"/>
    <w:rsid w:val="002633DB"/>
    <w:rsid w:val="00265450"/>
    <w:rsid w:val="00265455"/>
    <w:rsid w:val="00265512"/>
    <w:rsid w:val="0026740A"/>
    <w:rsid w:val="00270411"/>
    <w:rsid w:val="0027156C"/>
    <w:rsid w:val="00271A6E"/>
    <w:rsid w:val="00271F29"/>
    <w:rsid w:val="0027285B"/>
    <w:rsid w:val="00273A4A"/>
    <w:rsid w:val="00273CD5"/>
    <w:rsid w:val="00276F00"/>
    <w:rsid w:val="00277F1F"/>
    <w:rsid w:val="00280769"/>
    <w:rsid w:val="00280B4C"/>
    <w:rsid w:val="00280D23"/>
    <w:rsid w:val="00282DB5"/>
    <w:rsid w:val="00285200"/>
    <w:rsid w:val="00285BD4"/>
    <w:rsid w:val="002864BB"/>
    <w:rsid w:val="00287E42"/>
    <w:rsid w:val="0029141D"/>
    <w:rsid w:val="00291C0D"/>
    <w:rsid w:val="00292531"/>
    <w:rsid w:val="0029427A"/>
    <w:rsid w:val="002944EF"/>
    <w:rsid w:val="002974F0"/>
    <w:rsid w:val="00297AD9"/>
    <w:rsid w:val="002A04F1"/>
    <w:rsid w:val="002A173B"/>
    <w:rsid w:val="002A2EEC"/>
    <w:rsid w:val="002A4F20"/>
    <w:rsid w:val="002A527A"/>
    <w:rsid w:val="002A5B19"/>
    <w:rsid w:val="002A71EA"/>
    <w:rsid w:val="002A7963"/>
    <w:rsid w:val="002B08EB"/>
    <w:rsid w:val="002B0E4A"/>
    <w:rsid w:val="002B3870"/>
    <w:rsid w:val="002B3B6C"/>
    <w:rsid w:val="002B7143"/>
    <w:rsid w:val="002B7C01"/>
    <w:rsid w:val="002C007C"/>
    <w:rsid w:val="002C286D"/>
    <w:rsid w:val="002C3434"/>
    <w:rsid w:val="002C37F9"/>
    <w:rsid w:val="002C39D3"/>
    <w:rsid w:val="002C42D6"/>
    <w:rsid w:val="002C47FD"/>
    <w:rsid w:val="002C4851"/>
    <w:rsid w:val="002C4BD5"/>
    <w:rsid w:val="002C5F6C"/>
    <w:rsid w:val="002C62D3"/>
    <w:rsid w:val="002C75B0"/>
    <w:rsid w:val="002D13B7"/>
    <w:rsid w:val="002D2291"/>
    <w:rsid w:val="002D2A28"/>
    <w:rsid w:val="002D33CE"/>
    <w:rsid w:val="002D49A2"/>
    <w:rsid w:val="002D4BC5"/>
    <w:rsid w:val="002D55FE"/>
    <w:rsid w:val="002D5890"/>
    <w:rsid w:val="002D5B9B"/>
    <w:rsid w:val="002E1251"/>
    <w:rsid w:val="002E1368"/>
    <w:rsid w:val="002E1B14"/>
    <w:rsid w:val="002E2C96"/>
    <w:rsid w:val="002E2EDD"/>
    <w:rsid w:val="002E3E7C"/>
    <w:rsid w:val="002E5807"/>
    <w:rsid w:val="002E6459"/>
    <w:rsid w:val="002E66C0"/>
    <w:rsid w:val="002E7469"/>
    <w:rsid w:val="002E7A04"/>
    <w:rsid w:val="002F0890"/>
    <w:rsid w:val="002F1592"/>
    <w:rsid w:val="002F231C"/>
    <w:rsid w:val="002F6631"/>
    <w:rsid w:val="00303F1E"/>
    <w:rsid w:val="0030434C"/>
    <w:rsid w:val="0030441B"/>
    <w:rsid w:val="00306226"/>
    <w:rsid w:val="0030781D"/>
    <w:rsid w:val="003127AD"/>
    <w:rsid w:val="00314C0F"/>
    <w:rsid w:val="00316747"/>
    <w:rsid w:val="00320309"/>
    <w:rsid w:val="00320A0B"/>
    <w:rsid w:val="00320F63"/>
    <w:rsid w:val="00321854"/>
    <w:rsid w:val="003219AC"/>
    <w:rsid w:val="00321A97"/>
    <w:rsid w:val="00322723"/>
    <w:rsid w:val="0032368F"/>
    <w:rsid w:val="0032522A"/>
    <w:rsid w:val="003263D1"/>
    <w:rsid w:val="00326A43"/>
    <w:rsid w:val="00330147"/>
    <w:rsid w:val="003335CC"/>
    <w:rsid w:val="003335ED"/>
    <w:rsid w:val="0033420C"/>
    <w:rsid w:val="00334BC1"/>
    <w:rsid w:val="00334E4C"/>
    <w:rsid w:val="003354CC"/>
    <w:rsid w:val="003360E2"/>
    <w:rsid w:val="003378AF"/>
    <w:rsid w:val="00337FB1"/>
    <w:rsid w:val="00340B70"/>
    <w:rsid w:val="003412D6"/>
    <w:rsid w:val="00342183"/>
    <w:rsid w:val="003466B8"/>
    <w:rsid w:val="00346774"/>
    <w:rsid w:val="00347FCC"/>
    <w:rsid w:val="003514AC"/>
    <w:rsid w:val="00351B2A"/>
    <w:rsid w:val="00352A74"/>
    <w:rsid w:val="00354513"/>
    <w:rsid w:val="003548E0"/>
    <w:rsid w:val="00357105"/>
    <w:rsid w:val="0036327C"/>
    <w:rsid w:val="0036426A"/>
    <w:rsid w:val="00364709"/>
    <w:rsid w:val="00365FEB"/>
    <w:rsid w:val="00367F4A"/>
    <w:rsid w:val="003700C1"/>
    <w:rsid w:val="00370F95"/>
    <w:rsid w:val="00371137"/>
    <w:rsid w:val="003731C3"/>
    <w:rsid w:val="00373419"/>
    <w:rsid w:val="0037510A"/>
    <w:rsid w:val="0037615B"/>
    <w:rsid w:val="003768A3"/>
    <w:rsid w:val="00380BCD"/>
    <w:rsid w:val="00380F95"/>
    <w:rsid w:val="0038158F"/>
    <w:rsid w:val="00383783"/>
    <w:rsid w:val="00383B33"/>
    <w:rsid w:val="00384FB4"/>
    <w:rsid w:val="00385D7A"/>
    <w:rsid w:val="00387EC2"/>
    <w:rsid w:val="00390089"/>
    <w:rsid w:val="0039156F"/>
    <w:rsid w:val="00391CC7"/>
    <w:rsid w:val="00391DB9"/>
    <w:rsid w:val="00392182"/>
    <w:rsid w:val="003922E6"/>
    <w:rsid w:val="0039319E"/>
    <w:rsid w:val="00393633"/>
    <w:rsid w:val="003937FD"/>
    <w:rsid w:val="00394D3F"/>
    <w:rsid w:val="0039536D"/>
    <w:rsid w:val="0039578E"/>
    <w:rsid w:val="00395F6D"/>
    <w:rsid w:val="0039669C"/>
    <w:rsid w:val="0039713E"/>
    <w:rsid w:val="00397C21"/>
    <w:rsid w:val="003A1B9D"/>
    <w:rsid w:val="003A1F93"/>
    <w:rsid w:val="003A39C2"/>
    <w:rsid w:val="003A4576"/>
    <w:rsid w:val="003A556B"/>
    <w:rsid w:val="003A5BA1"/>
    <w:rsid w:val="003A5F6B"/>
    <w:rsid w:val="003A6C21"/>
    <w:rsid w:val="003B0A4F"/>
    <w:rsid w:val="003B16B5"/>
    <w:rsid w:val="003B1B26"/>
    <w:rsid w:val="003B2082"/>
    <w:rsid w:val="003B2286"/>
    <w:rsid w:val="003B480F"/>
    <w:rsid w:val="003B619D"/>
    <w:rsid w:val="003B63AF"/>
    <w:rsid w:val="003B6873"/>
    <w:rsid w:val="003C1134"/>
    <w:rsid w:val="003C2A3C"/>
    <w:rsid w:val="003C345A"/>
    <w:rsid w:val="003C45E1"/>
    <w:rsid w:val="003C4699"/>
    <w:rsid w:val="003C6C4B"/>
    <w:rsid w:val="003C6F8E"/>
    <w:rsid w:val="003C7076"/>
    <w:rsid w:val="003C769E"/>
    <w:rsid w:val="003C7780"/>
    <w:rsid w:val="003D01B3"/>
    <w:rsid w:val="003D07CF"/>
    <w:rsid w:val="003D39FD"/>
    <w:rsid w:val="003D4321"/>
    <w:rsid w:val="003D44EE"/>
    <w:rsid w:val="003D47D6"/>
    <w:rsid w:val="003D47D9"/>
    <w:rsid w:val="003D60B3"/>
    <w:rsid w:val="003D727E"/>
    <w:rsid w:val="003E1A54"/>
    <w:rsid w:val="003E1EC1"/>
    <w:rsid w:val="003E2197"/>
    <w:rsid w:val="003E3631"/>
    <w:rsid w:val="003E5299"/>
    <w:rsid w:val="003E5CF2"/>
    <w:rsid w:val="003E6AD5"/>
    <w:rsid w:val="003E6BB8"/>
    <w:rsid w:val="003F180C"/>
    <w:rsid w:val="003F1CBB"/>
    <w:rsid w:val="003F2C73"/>
    <w:rsid w:val="003F2D78"/>
    <w:rsid w:val="003F777E"/>
    <w:rsid w:val="0040093F"/>
    <w:rsid w:val="00400FCC"/>
    <w:rsid w:val="0040120A"/>
    <w:rsid w:val="0040248A"/>
    <w:rsid w:val="004050A9"/>
    <w:rsid w:val="00407000"/>
    <w:rsid w:val="004108F0"/>
    <w:rsid w:val="00411087"/>
    <w:rsid w:val="00412019"/>
    <w:rsid w:val="00412E04"/>
    <w:rsid w:val="00415251"/>
    <w:rsid w:val="004162E4"/>
    <w:rsid w:val="00416320"/>
    <w:rsid w:val="0041644A"/>
    <w:rsid w:val="0041647C"/>
    <w:rsid w:val="004169F5"/>
    <w:rsid w:val="00417022"/>
    <w:rsid w:val="00420123"/>
    <w:rsid w:val="004203E2"/>
    <w:rsid w:val="004205B4"/>
    <w:rsid w:val="0042269E"/>
    <w:rsid w:val="00422CC1"/>
    <w:rsid w:val="004235A2"/>
    <w:rsid w:val="00424D56"/>
    <w:rsid w:val="004269BE"/>
    <w:rsid w:val="00427E38"/>
    <w:rsid w:val="0043061D"/>
    <w:rsid w:val="00430F13"/>
    <w:rsid w:val="00434401"/>
    <w:rsid w:val="004344C0"/>
    <w:rsid w:val="00435716"/>
    <w:rsid w:val="0043730C"/>
    <w:rsid w:val="004374D6"/>
    <w:rsid w:val="004376A0"/>
    <w:rsid w:val="00437CF3"/>
    <w:rsid w:val="0044062C"/>
    <w:rsid w:val="00440E43"/>
    <w:rsid w:val="00441A11"/>
    <w:rsid w:val="00442015"/>
    <w:rsid w:val="00443215"/>
    <w:rsid w:val="0044549E"/>
    <w:rsid w:val="00445C4C"/>
    <w:rsid w:val="004469A4"/>
    <w:rsid w:val="004469F4"/>
    <w:rsid w:val="00447DA7"/>
    <w:rsid w:val="00453F78"/>
    <w:rsid w:val="00455C2B"/>
    <w:rsid w:val="004617ED"/>
    <w:rsid w:val="0046182E"/>
    <w:rsid w:val="00462EB5"/>
    <w:rsid w:val="00463800"/>
    <w:rsid w:val="0046406A"/>
    <w:rsid w:val="00467A9B"/>
    <w:rsid w:val="00470D29"/>
    <w:rsid w:val="00473E19"/>
    <w:rsid w:val="00474BE2"/>
    <w:rsid w:val="00475900"/>
    <w:rsid w:val="004760F3"/>
    <w:rsid w:val="00476C20"/>
    <w:rsid w:val="004816EA"/>
    <w:rsid w:val="004824C9"/>
    <w:rsid w:val="00482672"/>
    <w:rsid w:val="00482F06"/>
    <w:rsid w:val="00482FDF"/>
    <w:rsid w:val="00483FA0"/>
    <w:rsid w:val="004845D4"/>
    <w:rsid w:val="00484E76"/>
    <w:rsid w:val="004858F4"/>
    <w:rsid w:val="00485B38"/>
    <w:rsid w:val="0048624B"/>
    <w:rsid w:val="00487F29"/>
    <w:rsid w:val="004903C7"/>
    <w:rsid w:val="0049126E"/>
    <w:rsid w:val="00491516"/>
    <w:rsid w:val="00491645"/>
    <w:rsid w:val="00492340"/>
    <w:rsid w:val="00492F72"/>
    <w:rsid w:val="00493F0E"/>
    <w:rsid w:val="00493FA4"/>
    <w:rsid w:val="0049413E"/>
    <w:rsid w:val="00495116"/>
    <w:rsid w:val="00496B65"/>
    <w:rsid w:val="00497637"/>
    <w:rsid w:val="004A0B24"/>
    <w:rsid w:val="004A1237"/>
    <w:rsid w:val="004A3703"/>
    <w:rsid w:val="004A63E8"/>
    <w:rsid w:val="004A7BD5"/>
    <w:rsid w:val="004B4571"/>
    <w:rsid w:val="004B49F4"/>
    <w:rsid w:val="004B5B69"/>
    <w:rsid w:val="004B5BCD"/>
    <w:rsid w:val="004B6F45"/>
    <w:rsid w:val="004C0391"/>
    <w:rsid w:val="004C13C0"/>
    <w:rsid w:val="004C25C7"/>
    <w:rsid w:val="004C2CEA"/>
    <w:rsid w:val="004C3373"/>
    <w:rsid w:val="004C3618"/>
    <w:rsid w:val="004C394B"/>
    <w:rsid w:val="004C4973"/>
    <w:rsid w:val="004C7002"/>
    <w:rsid w:val="004C760E"/>
    <w:rsid w:val="004D1371"/>
    <w:rsid w:val="004D2E59"/>
    <w:rsid w:val="004D60C3"/>
    <w:rsid w:val="004D6A9D"/>
    <w:rsid w:val="004D76D8"/>
    <w:rsid w:val="004E0BC4"/>
    <w:rsid w:val="004E1B7D"/>
    <w:rsid w:val="004E29A5"/>
    <w:rsid w:val="004E2C05"/>
    <w:rsid w:val="004E2E24"/>
    <w:rsid w:val="004E3165"/>
    <w:rsid w:val="004E62DD"/>
    <w:rsid w:val="004E67A2"/>
    <w:rsid w:val="004F230A"/>
    <w:rsid w:val="004F2BB5"/>
    <w:rsid w:val="004F324A"/>
    <w:rsid w:val="004F4B39"/>
    <w:rsid w:val="00501E8E"/>
    <w:rsid w:val="00502E2E"/>
    <w:rsid w:val="00503145"/>
    <w:rsid w:val="005065DC"/>
    <w:rsid w:val="00507BCA"/>
    <w:rsid w:val="00511B75"/>
    <w:rsid w:val="0051321E"/>
    <w:rsid w:val="005133EC"/>
    <w:rsid w:val="00517B2E"/>
    <w:rsid w:val="0052075C"/>
    <w:rsid w:val="00520C53"/>
    <w:rsid w:val="00520FF3"/>
    <w:rsid w:val="00521683"/>
    <w:rsid w:val="00522710"/>
    <w:rsid w:val="00524AD2"/>
    <w:rsid w:val="005260C2"/>
    <w:rsid w:val="00526306"/>
    <w:rsid w:val="00527533"/>
    <w:rsid w:val="00531238"/>
    <w:rsid w:val="0053195E"/>
    <w:rsid w:val="00532322"/>
    <w:rsid w:val="00532CAD"/>
    <w:rsid w:val="00535E6A"/>
    <w:rsid w:val="00536E80"/>
    <w:rsid w:val="005424C7"/>
    <w:rsid w:val="005425D6"/>
    <w:rsid w:val="00543990"/>
    <w:rsid w:val="005444D1"/>
    <w:rsid w:val="00545EAC"/>
    <w:rsid w:val="005477EA"/>
    <w:rsid w:val="00547865"/>
    <w:rsid w:val="00551735"/>
    <w:rsid w:val="0055323B"/>
    <w:rsid w:val="005533B3"/>
    <w:rsid w:val="005549C6"/>
    <w:rsid w:val="00554E57"/>
    <w:rsid w:val="005577A0"/>
    <w:rsid w:val="00557827"/>
    <w:rsid w:val="005607F2"/>
    <w:rsid w:val="0056225D"/>
    <w:rsid w:val="00562B2A"/>
    <w:rsid w:val="00564467"/>
    <w:rsid w:val="005648E6"/>
    <w:rsid w:val="0056754A"/>
    <w:rsid w:val="00567702"/>
    <w:rsid w:val="00570A0E"/>
    <w:rsid w:val="005714F8"/>
    <w:rsid w:val="00571FD6"/>
    <w:rsid w:val="00573D31"/>
    <w:rsid w:val="0058081E"/>
    <w:rsid w:val="00582FB5"/>
    <w:rsid w:val="00583CF0"/>
    <w:rsid w:val="00583F4D"/>
    <w:rsid w:val="005854BC"/>
    <w:rsid w:val="00586057"/>
    <w:rsid w:val="00587E77"/>
    <w:rsid w:val="005925AD"/>
    <w:rsid w:val="00592717"/>
    <w:rsid w:val="0059287A"/>
    <w:rsid w:val="00592888"/>
    <w:rsid w:val="00594FE0"/>
    <w:rsid w:val="00595685"/>
    <w:rsid w:val="00597486"/>
    <w:rsid w:val="005A154C"/>
    <w:rsid w:val="005A416B"/>
    <w:rsid w:val="005A4699"/>
    <w:rsid w:val="005A46EC"/>
    <w:rsid w:val="005A4774"/>
    <w:rsid w:val="005A57A0"/>
    <w:rsid w:val="005A6A45"/>
    <w:rsid w:val="005A6CEC"/>
    <w:rsid w:val="005A6D8C"/>
    <w:rsid w:val="005A7036"/>
    <w:rsid w:val="005A7109"/>
    <w:rsid w:val="005A73C6"/>
    <w:rsid w:val="005A7AC8"/>
    <w:rsid w:val="005B0AFE"/>
    <w:rsid w:val="005B14A0"/>
    <w:rsid w:val="005B1523"/>
    <w:rsid w:val="005B214F"/>
    <w:rsid w:val="005B2183"/>
    <w:rsid w:val="005B25FE"/>
    <w:rsid w:val="005B2A93"/>
    <w:rsid w:val="005B2C08"/>
    <w:rsid w:val="005B3FFB"/>
    <w:rsid w:val="005B4DD5"/>
    <w:rsid w:val="005B75AD"/>
    <w:rsid w:val="005C3A0C"/>
    <w:rsid w:val="005C4884"/>
    <w:rsid w:val="005C7095"/>
    <w:rsid w:val="005C710F"/>
    <w:rsid w:val="005C7C2C"/>
    <w:rsid w:val="005D125C"/>
    <w:rsid w:val="005D3718"/>
    <w:rsid w:val="005D3B2A"/>
    <w:rsid w:val="005D3F3F"/>
    <w:rsid w:val="005D43DB"/>
    <w:rsid w:val="005D4903"/>
    <w:rsid w:val="005D4F1B"/>
    <w:rsid w:val="005D4FAC"/>
    <w:rsid w:val="005D5836"/>
    <w:rsid w:val="005E1DB7"/>
    <w:rsid w:val="005E1E0E"/>
    <w:rsid w:val="005E2304"/>
    <w:rsid w:val="005E3E6E"/>
    <w:rsid w:val="005E406C"/>
    <w:rsid w:val="005E4DAD"/>
    <w:rsid w:val="005E4DEE"/>
    <w:rsid w:val="005E6310"/>
    <w:rsid w:val="005E65DA"/>
    <w:rsid w:val="005E674A"/>
    <w:rsid w:val="005E6A49"/>
    <w:rsid w:val="005F002C"/>
    <w:rsid w:val="005F05C8"/>
    <w:rsid w:val="005F1183"/>
    <w:rsid w:val="005F20E8"/>
    <w:rsid w:val="005F2EF2"/>
    <w:rsid w:val="005F35FE"/>
    <w:rsid w:val="006009D2"/>
    <w:rsid w:val="00601402"/>
    <w:rsid w:val="00601DD4"/>
    <w:rsid w:val="0060204C"/>
    <w:rsid w:val="006025B5"/>
    <w:rsid w:val="00602D07"/>
    <w:rsid w:val="00604141"/>
    <w:rsid w:val="006045F3"/>
    <w:rsid w:val="006054BD"/>
    <w:rsid w:val="00606A21"/>
    <w:rsid w:val="00607BBD"/>
    <w:rsid w:val="006101AA"/>
    <w:rsid w:val="00610BB9"/>
    <w:rsid w:val="006111D0"/>
    <w:rsid w:val="00612618"/>
    <w:rsid w:val="006156C5"/>
    <w:rsid w:val="00616BB7"/>
    <w:rsid w:val="0061799B"/>
    <w:rsid w:val="00617B68"/>
    <w:rsid w:val="00617C1C"/>
    <w:rsid w:val="00617D2E"/>
    <w:rsid w:val="00623938"/>
    <w:rsid w:val="00624A8A"/>
    <w:rsid w:val="00633904"/>
    <w:rsid w:val="00633D91"/>
    <w:rsid w:val="006343F1"/>
    <w:rsid w:val="00635C28"/>
    <w:rsid w:val="0063695E"/>
    <w:rsid w:val="006379A6"/>
    <w:rsid w:val="00640B9C"/>
    <w:rsid w:val="00645025"/>
    <w:rsid w:val="00645060"/>
    <w:rsid w:val="006450AD"/>
    <w:rsid w:val="00647004"/>
    <w:rsid w:val="00650B5B"/>
    <w:rsid w:val="00652CF0"/>
    <w:rsid w:val="006545F4"/>
    <w:rsid w:val="0065659A"/>
    <w:rsid w:val="00656B26"/>
    <w:rsid w:val="0065776E"/>
    <w:rsid w:val="006606AD"/>
    <w:rsid w:val="00660C12"/>
    <w:rsid w:val="00661056"/>
    <w:rsid w:val="006652F2"/>
    <w:rsid w:val="00666458"/>
    <w:rsid w:val="0067071F"/>
    <w:rsid w:val="00672597"/>
    <w:rsid w:val="00673846"/>
    <w:rsid w:val="00673C7B"/>
    <w:rsid w:val="00673DB6"/>
    <w:rsid w:val="00674D51"/>
    <w:rsid w:val="00677392"/>
    <w:rsid w:val="006773DB"/>
    <w:rsid w:val="006804D5"/>
    <w:rsid w:val="006805E3"/>
    <w:rsid w:val="006807D1"/>
    <w:rsid w:val="00681D41"/>
    <w:rsid w:val="006830E1"/>
    <w:rsid w:val="00684CB2"/>
    <w:rsid w:val="00685DED"/>
    <w:rsid w:val="00686548"/>
    <w:rsid w:val="0068726B"/>
    <w:rsid w:val="00687B51"/>
    <w:rsid w:val="006903B6"/>
    <w:rsid w:val="00690BB3"/>
    <w:rsid w:val="00690F4E"/>
    <w:rsid w:val="0069208C"/>
    <w:rsid w:val="0069335C"/>
    <w:rsid w:val="0069337B"/>
    <w:rsid w:val="00693433"/>
    <w:rsid w:val="006935E5"/>
    <w:rsid w:val="0069467D"/>
    <w:rsid w:val="006946A8"/>
    <w:rsid w:val="00695AE5"/>
    <w:rsid w:val="00697373"/>
    <w:rsid w:val="00697E60"/>
    <w:rsid w:val="006A0C1F"/>
    <w:rsid w:val="006A1FDD"/>
    <w:rsid w:val="006A2034"/>
    <w:rsid w:val="006A20DD"/>
    <w:rsid w:val="006A2389"/>
    <w:rsid w:val="006A2D45"/>
    <w:rsid w:val="006A4C6C"/>
    <w:rsid w:val="006A6FB0"/>
    <w:rsid w:val="006A7D6C"/>
    <w:rsid w:val="006B1061"/>
    <w:rsid w:val="006B1092"/>
    <w:rsid w:val="006B2A7C"/>
    <w:rsid w:val="006B49F6"/>
    <w:rsid w:val="006B4D4E"/>
    <w:rsid w:val="006C0DD2"/>
    <w:rsid w:val="006C0F96"/>
    <w:rsid w:val="006C208F"/>
    <w:rsid w:val="006C2352"/>
    <w:rsid w:val="006C2AE9"/>
    <w:rsid w:val="006C379E"/>
    <w:rsid w:val="006C39D1"/>
    <w:rsid w:val="006C5F93"/>
    <w:rsid w:val="006C733C"/>
    <w:rsid w:val="006D19AC"/>
    <w:rsid w:val="006D2D90"/>
    <w:rsid w:val="006D4441"/>
    <w:rsid w:val="006D4F93"/>
    <w:rsid w:val="006D5C74"/>
    <w:rsid w:val="006D62E7"/>
    <w:rsid w:val="006D7438"/>
    <w:rsid w:val="006E122B"/>
    <w:rsid w:val="006E2DB3"/>
    <w:rsid w:val="006E2EA3"/>
    <w:rsid w:val="006E2ED0"/>
    <w:rsid w:val="006E3026"/>
    <w:rsid w:val="006E3866"/>
    <w:rsid w:val="006E3C51"/>
    <w:rsid w:val="006E71B8"/>
    <w:rsid w:val="006E7221"/>
    <w:rsid w:val="006F0739"/>
    <w:rsid w:val="006F0A66"/>
    <w:rsid w:val="006F0D26"/>
    <w:rsid w:val="006F26FA"/>
    <w:rsid w:val="006F3E9C"/>
    <w:rsid w:val="006F49D7"/>
    <w:rsid w:val="0070022F"/>
    <w:rsid w:val="00702551"/>
    <w:rsid w:val="00702B18"/>
    <w:rsid w:val="007041E7"/>
    <w:rsid w:val="007058A5"/>
    <w:rsid w:val="00706BE1"/>
    <w:rsid w:val="00707F16"/>
    <w:rsid w:val="00710425"/>
    <w:rsid w:val="00710D2F"/>
    <w:rsid w:val="007113B6"/>
    <w:rsid w:val="007114D2"/>
    <w:rsid w:val="00713518"/>
    <w:rsid w:val="00715434"/>
    <w:rsid w:val="00716205"/>
    <w:rsid w:val="00716BE0"/>
    <w:rsid w:val="007179E3"/>
    <w:rsid w:val="007212E9"/>
    <w:rsid w:val="0072686C"/>
    <w:rsid w:val="007332E4"/>
    <w:rsid w:val="0073385B"/>
    <w:rsid w:val="00733BD5"/>
    <w:rsid w:val="007373E2"/>
    <w:rsid w:val="007414BF"/>
    <w:rsid w:val="007423A5"/>
    <w:rsid w:val="00742746"/>
    <w:rsid w:val="00742B0F"/>
    <w:rsid w:val="00744316"/>
    <w:rsid w:val="007457DD"/>
    <w:rsid w:val="00745D05"/>
    <w:rsid w:val="007501A2"/>
    <w:rsid w:val="0075033F"/>
    <w:rsid w:val="00751C73"/>
    <w:rsid w:val="00754D5C"/>
    <w:rsid w:val="007557EB"/>
    <w:rsid w:val="00755F9E"/>
    <w:rsid w:val="00756659"/>
    <w:rsid w:val="007578EC"/>
    <w:rsid w:val="00757EFE"/>
    <w:rsid w:val="00760A63"/>
    <w:rsid w:val="0076275E"/>
    <w:rsid w:val="00762B3C"/>
    <w:rsid w:val="00763D3B"/>
    <w:rsid w:val="007677A8"/>
    <w:rsid w:val="00767F05"/>
    <w:rsid w:val="00771102"/>
    <w:rsid w:val="00773977"/>
    <w:rsid w:val="00774477"/>
    <w:rsid w:val="00774DAE"/>
    <w:rsid w:val="0077664F"/>
    <w:rsid w:val="00776DD0"/>
    <w:rsid w:val="0077760F"/>
    <w:rsid w:val="007776C2"/>
    <w:rsid w:val="00777A2F"/>
    <w:rsid w:val="007801C4"/>
    <w:rsid w:val="00780255"/>
    <w:rsid w:val="007803B3"/>
    <w:rsid w:val="00780674"/>
    <w:rsid w:val="00780CBB"/>
    <w:rsid w:val="007813CA"/>
    <w:rsid w:val="00781C8C"/>
    <w:rsid w:val="0078226D"/>
    <w:rsid w:val="00782639"/>
    <w:rsid w:val="007847FA"/>
    <w:rsid w:val="0078565B"/>
    <w:rsid w:val="00785E82"/>
    <w:rsid w:val="00785F74"/>
    <w:rsid w:val="00786328"/>
    <w:rsid w:val="007869E4"/>
    <w:rsid w:val="00786ABB"/>
    <w:rsid w:val="00786B84"/>
    <w:rsid w:val="007870E7"/>
    <w:rsid w:val="0079257D"/>
    <w:rsid w:val="00792F4C"/>
    <w:rsid w:val="007939F5"/>
    <w:rsid w:val="00794B21"/>
    <w:rsid w:val="00795527"/>
    <w:rsid w:val="00796244"/>
    <w:rsid w:val="00796341"/>
    <w:rsid w:val="007A11A2"/>
    <w:rsid w:val="007A3C57"/>
    <w:rsid w:val="007A5483"/>
    <w:rsid w:val="007A5E36"/>
    <w:rsid w:val="007A68D6"/>
    <w:rsid w:val="007B09E6"/>
    <w:rsid w:val="007B11D1"/>
    <w:rsid w:val="007B1EC9"/>
    <w:rsid w:val="007B2B06"/>
    <w:rsid w:val="007B2ECC"/>
    <w:rsid w:val="007B39C5"/>
    <w:rsid w:val="007B4357"/>
    <w:rsid w:val="007B4EC9"/>
    <w:rsid w:val="007B55F6"/>
    <w:rsid w:val="007B5F72"/>
    <w:rsid w:val="007B776F"/>
    <w:rsid w:val="007B7917"/>
    <w:rsid w:val="007B7C68"/>
    <w:rsid w:val="007C20A6"/>
    <w:rsid w:val="007C4881"/>
    <w:rsid w:val="007C7764"/>
    <w:rsid w:val="007C7B16"/>
    <w:rsid w:val="007D0AF7"/>
    <w:rsid w:val="007D10E7"/>
    <w:rsid w:val="007D15D2"/>
    <w:rsid w:val="007D2F6A"/>
    <w:rsid w:val="007D30EA"/>
    <w:rsid w:val="007D3127"/>
    <w:rsid w:val="007D3B0B"/>
    <w:rsid w:val="007D3C25"/>
    <w:rsid w:val="007D3C64"/>
    <w:rsid w:val="007D67E6"/>
    <w:rsid w:val="007D7E9B"/>
    <w:rsid w:val="007E0A2D"/>
    <w:rsid w:val="007E103D"/>
    <w:rsid w:val="007E18EF"/>
    <w:rsid w:val="007E1F8D"/>
    <w:rsid w:val="007E22E1"/>
    <w:rsid w:val="007E397D"/>
    <w:rsid w:val="007E3F84"/>
    <w:rsid w:val="007E473A"/>
    <w:rsid w:val="007E4D82"/>
    <w:rsid w:val="007E4D96"/>
    <w:rsid w:val="007E567E"/>
    <w:rsid w:val="007E5BE6"/>
    <w:rsid w:val="007E637F"/>
    <w:rsid w:val="007E72B2"/>
    <w:rsid w:val="007F2ABD"/>
    <w:rsid w:val="007F3865"/>
    <w:rsid w:val="007F3D00"/>
    <w:rsid w:val="007F4732"/>
    <w:rsid w:val="007F7758"/>
    <w:rsid w:val="007F7FB3"/>
    <w:rsid w:val="00800F3C"/>
    <w:rsid w:val="00801282"/>
    <w:rsid w:val="008015EF"/>
    <w:rsid w:val="0080204F"/>
    <w:rsid w:val="00802B64"/>
    <w:rsid w:val="00802DBC"/>
    <w:rsid w:val="0080606B"/>
    <w:rsid w:val="00806803"/>
    <w:rsid w:val="00806EA1"/>
    <w:rsid w:val="008076F4"/>
    <w:rsid w:val="008077BD"/>
    <w:rsid w:val="00807F13"/>
    <w:rsid w:val="00810063"/>
    <w:rsid w:val="00811518"/>
    <w:rsid w:val="0081151E"/>
    <w:rsid w:val="00812DB0"/>
    <w:rsid w:val="00815140"/>
    <w:rsid w:val="0081647D"/>
    <w:rsid w:val="0082104C"/>
    <w:rsid w:val="00821643"/>
    <w:rsid w:val="00821B2A"/>
    <w:rsid w:val="008237E3"/>
    <w:rsid w:val="0082392D"/>
    <w:rsid w:val="00823DBF"/>
    <w:rsid w:val="00823EA3"/>
    <w:rsid w:val="00824C02"/>
    <w:rsid w:val="008252B2"/>
    <w:rsid w:val="00825E55"/>
    <w:rsid w:val="008265B1"/>
    <w:rsid w:val="008265F1"/>
    <w:rsid w:val="00826FE4"/>
    <w:rsid w:val="0082776E"/>
    <w:rsid w:val="00827AC6"/>
    <w:rsid w:val="008312E5"/>
    <w:rsid w:val="00831D9D"/>
    <w:rsid w:val="00832C58"/>
    <w:rsid w:val="00833C00"/>
    <w:rsid w:val="00834805"/>
    <w:rsid w:val="00836AD1"/>
    <w:rsid w:val="008400DF"/>
    <w:rsid w:val="00841832"/>
    <w:rsid w:val="00843586"/>
    <w:rsid w:val="00843732"/>
    <w:rsid w:val="00845D15"/>
    <w:rsid w:val="00846050"/>
    <w:rsid w:val="008464F6"/>
    <w:rsid w:val="008467DB"/>
    <w:rsid w:val="00851B45"/>
    <w:rsid w:val="008521AA"/>
    <w:rsid w:val="008522D8"/>
    <w:rsid w:val="00852509"/>
    <w:rsid w:val="00853C5A"/>
    <w:rsid w:val="00854260"/>
    <w:rsid w:val="00856547"/>
    <w:rsid w:val="00856BFA"/>
    <w:rsid w:val="00857B8D"/>
    <w:rsid w:val="00861124"/>
    <w:rsid w:val="008613C2"/>
    <w:rsid w:val="00866264"/>
    <w:rsid w:val="008664D7"/>
    <w:rsid w:val="00872871"/>
    <w:rsid w:val="00875542"/>
    <w:rsid w:val="00875F6A"/>
    <w:rsid w:val="00877BF0"/>
    <w:rsid w:val="00880064"/>
    <w:rsid w:val="0088306D"/>
    <w:rsid w:val="0088315F"/>
    <w:rsid w:val="00883F14"/>
    <w:rsid w:val="008840AD"/>
    <w:rsid w:val="008843D5"/>
    <w:rsid w:val="008847FC"/>
    <w:rsid w:val="0088604E"/>
    <w:rsid w:val="00886EEB"/>
    <w:rsid w:val="00891895"/>
    <w:rsid w:val="00891C75"/>
    <w:rsid w:val="008964BD"/>
    <w:rsid w:val="00896E36"/>
    <w:rsid w:val="008979E1"/>
    <w:rsid w:val="008A006E"/>
    <w:rsid w:val="008A044D"/>
    <w:rsid w:val="008A060D"/>
    <w:rsid w:val="008A09B1"/>
    <w:rsid w:val="008A5038"/>
    <w:rsid w:val="008A5875"/>
    <w:rsid w:val="008A597F"/>
    <w:rsid w:val="008A6756"/>
    <w:rsid w:val="008B0C3B"/>
    <w:rsid w:val="008B198D"/>
    <w:rsid w:val="008B3AA9"/>
    <w:rsid w:val="008B42CF"/>
    <w:rsid w:val="008B4931"/>
    <w:rsid w:val="008B6BA7"/>
    <w:rsid w:val="008B74C4"/>
    <w:rsid w:val="008B7500"/>
    <w:rsid w:val="008C10AA"/>
    <w:rsid w:val="008C1C47"/>
    <w:rsid w:val="008C4778"/>
    <w:rsid w:val="008C4B03"/>
    <w:rsid w:val="008C5702"/>
    <w:rsid w:val="008C57B4"/>
    <w:rsid w:val="008C697B"/>
    <w:rsid w:val="008D018A"/>
    <w:rsid w:val="008D28AC"/>
    <w:rsid w:val="008D3AA1"/>
    <w:rsid w:val="008D3D11"/>
    <w:rsid w:val="008D5BF4"/>
    <w:rsid w:val="008D5C83"/>
    <w:rsid w:val="008D695C"/>
    <w:rsid w:val="008D7B2D"/>
    <w:rsid w:val="008E1F97"/>
    <w:rsid w:val="008E2242"/>
    <w:rsid w:val="008E2EDC"/>
    <w:rsid w:val="008E31D1"/>
    <w:rsid w:val="008E5196"/>
    <w:rsid w:val="008E5A53"/>
    <w:rsid w:val="008E73EB"/>
    <w:rsid w:val="008F0C60"/>
    <w:rsid w:val="008F25EF"/>
    <w:rsid w:val="008F2A72"/>
    <w:rsid w:val="008F2C7A"/>
    <w:rsid w:val="008F346D"/>
    <w:rsid w:val="008F38EE"/>
    <w:rsid w:val="008F3944"/>
    <w:rsid w:val="008F4B5A"/>
    <w:rsid w:val="008F55A4"/>
    <w:rsid w:val="008F5866"/>
    <w:rsid w:val="008F7AF9"/>
    <w:rsid w:val="008F7B61"/>
    <w:rsid w:val="00900409"/>
    <w:rsid w:val="00900A87"/>
    <w:rsid w:val="00904025"/>
    <w:rsid w:val="0090411D"/>
    <w:rsid w:val="00904D69"/>
    <w:rsid w:val="00910BD2"/>
    <w:rsid w:val="00911EE1"/>
    <w:rsid w:val="0091203E"/>
    <w:rsid w:val="00912CAE"/>
    <w:rsid w:val="00913C98"/>
    <w:rsid w:val="00914C39"/>
    <w:rsid w:val="0091654A"/>
    <w:rsid w:val="0091659D"/>
    <w:rsid w:val="00920FFF"/>
    <w:rsid w:val="00922E7D"/>
    <w:rsid w:val="00923E1E"/>
    <w:rsid w:val="00924E12"/>
    <w:rsid w:val="00925683"/>
    <w:rsid w:val="009260E4"/>
    <w:rsid w:val="00931884"/>
    <w:rsid w:val="009337DE"/>
    <w:rsid w:val="00933CEA"/>
    <w:rsid w:val="00934350"/>
    <w:rsid w:val="00934D46"/>
    <w:rsid w:val="009377D8"/>
    <w:rsid w:val="00937E15"/>
    <w:rsid w:val="00937E6A"/>
    <w:rsid w:val="009401BC"/>
    <w:rsid w:val="00940CC4"/>
    <w:rsid w:val="00940F28"/>
    <w:rsid w:val="0094107F"/>
    <w:rsid w:val="009411AC"/>
    <w:rsid w:val="0094188E"/>
    <w:rsid w:val="00942024"/>
    <w:rsid w:val="009433C5"/>
    <w:rsid w:val="00944E40"/>
    <w:rsid w:val="009464FC"/>
    <w:rsid w:val="00946D2F"/>
    <w:rsid w:val="009479F9"/>
    <w:rsid w:val="00950C1E"/>
    <w:rsid w:val="009529ED"/>
    <w:rsid w:val="00952CC7"/>
    <w:rsid w:val="009537B0"/>
    <w:rsid w:val="00954361"/>
    <w:rsid w:val="009543BA"/>
    <w:rsid w:val="00956609"/>
    <w:rsid w:val="009570F2"/>
    <w:rsid w:val="00957805"/>
    <w:rsid w:val="00957AC3"/>
    <w:rsid w:val="0096061E"/>
    <w:rsid w:val="00961ADA"/>
    <w:rsid w:val="00961E9F"/>
    <w:rsid w:val="00962C04"/>
    <w:rsid w:val="00963A37"/>
    <w:rsid w:val="009658EF"/>
    <w:rsid w:val="00965BCB"/>
    <w:rsid w:val="00966ABC"/>
    <w:rsid w:val="009678FE"/>
    <w:rsid w:val="00970A2B"/>
    <w:rsid w:val="00971C6E"/>
    <w:rsid w:val="00971E53"/>
    <w:rsid w:val="009721B5"/>
    <w:rsid w:val="00973DC0"/>
    <w:rsid w:val="00975DDA"/>
    <w:rsid w:val="00977570"/>
    <w:rsid w:val="009805A8"/>
    <w:rsid w:val="00980AE4"/>
    <w:rsid w:val="00981394"/>
    <w:rsid w:val="00981577"/>
    <w:rsid w:val="00981CFB"/>
    <w:rsid w:val="00983672"/>
    <w:rsid w:val="00983717"/>
    <w:rsid w:val="00983F3E"/>
    <w:rsid w:val="00985867"/>
    <w:rsid w:val="00987C06"/>
    <w:rsid w:val="00990FEC"/>
    <w:rsid w:val="00991D44"/>
    <w:rsid w:val="00992928"/>
    <w:rsid w:val="00992CC8"/>
    <w:rsid w:val="00992E3F"/>
    <w:rsid w:val="00995083"/>
    <w:rsid w:val="0099700C"/>
    <w:rsid w:val="009A1013"/>
    <w:rsid w:val="009A1028"/>
    <w:rsid w:val="009A1F91"/>
    <w:rsid w:val="009A2254"/>
    <w:rsid w:val="009A385A"/>
    <w:rsid w:val="009A4508"/>
    <w:rsid w:val="009A53E6"/>
    <w:rsid w:val="009A543E"/>
    <w:rsid w:val="009A68FC"/>
    <w:rsid w:val="009A789E"/>
    <w:rsid w:val="009A7E90"/>
    <w:rsid w:val="009B0A48"/>
    <w:rsid w:val="009B1B5B"/>
    <w:rsid w:val="009B232C"/>
    <w:rsid w:val="009B2647"/>
    <w:rsid w:val="009B3146"/>
    <w:rsid w:val="009B521F"/>
    <w:rsid w:val="009B541A"/>
    <w:rsid w:val="009B5C88"/>
    <w:rsid w:val="009B767E"/>
    <w:rsid w:val="009B7FE0"/>
    <w:rsid w:val="009C06D1"/>
    <w:rsid w:val="009C1DA1"/>
    <w:rsid w:val="009C5261"/>
    <w:rsid w:val="009C5411"/>
    <w:rsid w:val="009C704A"/>
    <w:rsid w:val="009D00B2"/>
    <w:rsid w:val="009D0C86"/>
    <w:rsid w:val="009D185C"/>
    <w:rsid w:val="009D2363"/>
    <w:rsid w:val="009D34AE"/>
    <w:rsid w:val="009D3B7E"/>
    <w:rsid w:val="009D3CF7"/>
    <w:rsid w:val="009D57AD"/>
    <w:rsid w:val="009E16DF"/>
    <w:rsid w:val="009E1D33"/>
    <w:rsid w:val="009E2AD2"/>
    <w:rsid w:val="009E4F91"/>
    <w:rsid w:val="009E54B3"/>
    <w:rsid w:val="009F0885"/>
    <w:rsid w:val="009F2530"/>
    <w:rsid w:val="009F28E6"/>
    <w:rsid w:val="009F3415"/>
    <w:rsid w:val="009F34F9"/>
    <w:rsid w:val="009F3E0F"/>
    <w:rsid w:val="009F5681"/>
    <w:rsid w:val="009F5EAA"/>
    <w:rsid w:val="00A0019F"/>
    <w:rsid w:val="00A00EA9"/>
    <w:rsid w:val="00A01733"/>
    <w:rsid w:val="00A01783"/>
    <w:rsid w:val="00A0236E"/>
    <w:rsid w:val="00A023A3"/>
    <w:rsid w:val="00A04005"/>
    <w:rsid w:val="00A05D0C"/>
    <w:rsid w:val="00A113C4"/>
    <w:rsid w:val="00A1174F"/>
    <w:rsid w:val="00A11CEC"/>
    <w:rsid w:val="00A124A8"/>
    <w:rsid w:val="00A12FE0"/>
    <w:rsid w:val="00A1626E"/>
    <w:rsid w:val="00A16A03"/>
    <w:rsid w:val="00A16EFD"/>
    <w:rsid w:val="00A17131"/>
    <w:rsid w:val="00A17E87"/>
    <w:rsid w:val="00A200A5"/>
    <w:rsid w:val="00A20F85"/>
    <w:rsid w:val="00A2250B"/>
    <w:rsid w:val="00A233A8"/>
    <w:rsid w:val="00A26923"/>
    <w:rsid w:val="00A26930"/>
    <w:rsid w:val="00A26D1E"/>
    <w:rsid w:val="00A272C7"/>
    <w:rsid w:val="00A323DB"/>
    <w:rsid w:val="00A3281E"/>
    <w:rsid w:val="00A32CC9"/>
    <w:rsid w:val="00A32E31"/>
    <w:rsid w:val="00A33E35"/>
    <w:rsid w:val="00A34E46"/>
    <w:rsid w:val="00A35E4B"/>
    <w:rsid w:val="00A363BC"/>
    <w:rsid w:val="00A36B81"/>
    <w:rsid w:val="00A36E3B"/>
    <w:rsid w:val="00A373DB"/>
    <w:rsid w:val="00A407D7"/>
    <w:rsid w:val="00A40990"/>
    <w:rsid w:val="00A42D98"/>
    <w:rsid w:val="00A4369D"/>
    <w:rsid w:val="00A4456C"/>
    <w:rsid w:val="00A45EA5"/>
    <w:rsid w:val="00A47050"/>
    <w:rsid w:val="00A4791F"/>
    <w:rsid w:val="00A479D9"/>
    <w:rsid w:val="00A50CC6"/>
    <w:rsid w:val="00A50F26"/>
    <w:rsid w:val="00A510A8"/>
    <w:rsid w:val="00A5181E"/>
    <w:rsid w:val="00A51A4C"/>
    <w:rsid w:val="00A523D1"/>
    <w:rsid w:val="00A5301B"/>
    <w:rsid w:val="00A53374"/>
    <w:rsid w:val="00A53A53"/>
    <w:rsid w:val="00A5451F"/>
    <w:rsid w:val="00A549FD"/>
    <w:rsid w:val="00A56253"/>
    <w:rsid w:val="00A56CA1"/>
    <w:rsid w:val="00A577C0"/>
    <w:rsid w:val="00A636DD"/>
    <w:rsid w:val="00A63BE8"/>
    <w:rsid w:val="00A72D52"/>
    <w:rsid w:val="00A73141"/>
    <w:rsid w:val="00A732B9"/>
    <w:rsid w:val="00A73D00"/>
    <w:rsid w:val="00A73D3A"/>
    <w:rsid w:val="00A74622"/>
    <w:rsid w:val="00A74D71"/>
    <w:rsid w:val="00A7548E"/>
    <w:rsid w:val="00A75C2A"/>
    <w:rsid w:val="00A762C8"/>
    <w:rsid w:val="00A765AD"/>
    <w:rsid w:val="00A7665A"/>
    <w:rsid w:val="00A76D40"/>
    <w:rsid w:val="00A77E07"/>
    <w:rsid w:val="00A77E44"/>
    <w:rsid w:val="00A80562"/>
    <w:rsid w:val="00A80DC0"/>
    <w:rsid w:val="00A81613"/>
    <w:rsid w:val="00A82669"/>
    <w:rsid w:val="00A85C12"/>
    <w:rsid w:val="00A85D4A"/>
    <w:rsid w:val="00A90DDB"/>
    <w:rsid w:val="00A914AD"/>
    <w:rsid w:val="00A91A19"/>
    <w:rsid w:val="00A92966"/>
    <w:rsid w:val="00A92A91"/>
    <w:rsid w:val="00A94E1B"/>
    <w:rsid w:val="00A950A0"/>
    <w:rsid w:val="00AA1965"/>
    <w:rsid w:val="00AA1C70"/>
    <w:rsid w:val="00AA3AD7"/>
    <w:rsid w:val="00AA4EDF"/>
    <w:rsid w:val="00AA6EFF"/>
    <w:rsid w:val="00AB0391"/>
    <w:rsid w:val="00AB0698"/>
    <w:rsid w:val="00AB45D7"/>
    <w:rsid w:val="00AB5A65"/>
    <w:rsid w:val="00AB5C5B"/>
    <w:rsid w:val="00AB6113"/>
    <w:rsid w:val="00AB76F0"/>
    <w:rsid w:val="00AC14B2"/>
    <w:rsid w:val="00AC18CA"/>
    <w:rsid w:val="00AC1E7F"/>
    <w:rsid w:val="00AC4301"/>
    <w:rsid w:val="00AC5B4B"/>
    <w:rsid w:val="00AC5E43"/>
    <w:rsid w:val="00AC5EFC"/>
    <w:rsid w:val="00AC6539"/>
    <w:rsid w:val="00AC6D31"/>
    <w:rsid w:val="00AD0FE5"/>
    <w:rsid w:val="00AD2C01"/>
    <w:rsid w:val="00AD3745"/>
    <w:rsid w:val="00AD5AE8"/>
    <w:rsid w:val="00AD608F"/>
    <w:rsid w:val="00AD6FDC"/>
    <w:rsid w:val="00AD7160"/>
    <w:rsid w:val="00AD724D"/>
    <w:rsid w:val="00AE044D"/>
    <w:rsid w:val="00AE0A40"/>
    <w:rsid w:val="00AE1634"/>
    <w:rsid w:val="00AE1FBF"/>
    <w:rsid w:val="00AE3BDD"/>
    <w:rsid w:val="00AE4411"/>
    <w:rsid w:val="00AE548F"/>
    <w:rsid w:val="00AE63A6"/>
    <w:rsid w:val="00AE6A43"/>
    <w:rsid w:val="00AE6B98"/>
    <w:rsid w:val="00AE6E1E"/>
    <w:rsid w:val="00AE6E58"/>
    <w:rsid w:val="00AF260D"/>
    <w:rsid w:val="00AF48EC"/>
    <w:rsid w:val="00AF5219"/>
    <w:rsid w:val="00AF5550"/>
    <w:rsid w:val="00AF7737"/>
    <w:rsid w:val="00AF7AF3"/>
    <w:rsid w:val="00B0178A"/>
    <w:rsid w:val="00B01946"/>
    <w:rsid w:val="00B01AA5"/>
    <w:rsid w:val="00B029BA"/>
    <w:rsid w:val="00B037D2"/>
    <w:rsid w:val="00B03937"/>
    <w:rsid w:val="00B0428F"/>
    <w:rsid w:val="00B05041"/>
    <w:rsid w:val="00B05102"/>
    <w:rsid w:val="00B05C71"/>
    <w:rsid w:val="00B104B7"/>
    <w:rsid w:val="00B10510"/>
    <w:rsid w:val="00B119B6"/>
    <w:rsid w:val="00B12CA5"/>
    <w:rsid w:val="00B136BC"/>
    <w:rsid w:val="00B136D5"/>
    <w:rsid w:val="00B15820"/>
    <w:rsid w:val="00B15B2C"/>
    <w:rsid w:val="00B16590"/>
    <w:rsid w:val="00B20078"/>
    <w:rsid w:val="00B20E68"/>
    <w:rsid w:val="00B22CF4"/>
    <w:rsid w:val="00B23B98"/>
    <w:rsid w:val="00B23DFF"/>
    <w:rsid w:val="00B23EF8"/>
    <w:rsid w:val="00B254DC"/>
    <w:rsid w:val="00B2579D"/>
    <w:rsid w:val="00B25858"/>
    <w:rsid w:val="00B2739B"/>
    <w:rsid w:val="00B276FE"/>
    <w:rsid w:val="00B279CF"/>
    <w:rsid w:val="00B27B24"/>
    <w:rsid w:val="00B30A57"/>
    <w:rsid w:val="00B31312"/>
    <w:rsid w:val="00B313AB"/>
    <w:rsid w:val="00B32115"/>
    <w:rsid w:val="00B3271D"/>
    <w:rsid w:val="00B32EFD"/>
    <w:rsid w:val="00B330B0"/>
    <w:rsid w:val="00B33F06"/>
    <w:rsid w:val="00B34EAF"/>
    <w:rsid w:val="00B36EF3"/>
    <w:rsid w:val="00B370FA"/>
    <w:rsid w:val="00B37C65"/>
    <w:rsid w:val="00B40335"/>
    <w:rsid w:val="00B40826"/>
    <w:rsid w:val="00B416FB"/>
    <w:rsid w:val="00B41F70"/>
    <w:rsid w:val="00B4246D"/>
    <w:rsid w:val="00B425A3"/>
    <w:rsid w:val="00B43B0D"/>
    <w:rsid w:val="00B44E28"/>
    <w:rsid w:val="00B44E88"/>
    <w:rsid w:val="00B45AA6"/>
    <w:rsid w:val="00B45C46"/>
    <w:rsid w:val="00B46DBC"/>
    <w:rsid w:val="00B46F7E"/>
    <w:rsid w:val="00B56173"/>
    <w:rsid w:val="00B57E5A"/>
    <w:rsid w:val="00B6230B"/>
    <w:rsid w:val="00B6286E"/>
    <w:rsid w:val="00B6478B"/>
    <w:rsid w:val="00B64888"/>
    <w:rsid w:val="00B64974"/>
    <w:rsid w:val="00B64C28"/>
    <w:rsid w:val="00B70A83"/>
    <w:rsid w:val="00B721D3"/>
    <w:rsid w:val="00B7251D"/>
    <w:rsid w:val="00B7299B"/>
    <w:rsid w:val="00B72EF6"/>
    <w:rsid w:val="00B73C77"/>
    <w:rsid w:val="00B801DA"/>
    <w:rsid w:val="00B81457"/>
    <w:rsid w:val="00B817FD"/>
    <w:rsid w:val="00B852A1"/>
    <w:rsid w:val="00B87099"/>
    <w:rsid w:val="00B87FC2"/>
    <w:rsid w:val="00B9110D"/>
    <w:rsid w:val="00B9325F"/>
    <w:rsid w:val="00B9472E"/>
    <w:rsid w:val="00B956CA"/>
    <w:rsid w:val="00B95A00"/>
    <w:rsid w:val="00BA01C5"/>
    <w:rsid w:val="00BA1460"/>
    <w:rsid w:val="00BA1A46"/>
    <w:rsid w:val="00BA3424"/>
    <w:rsid w:val="00BA5BCF"/>
    <w:rsid w:val="00BA6A31"/>
    <w:rsid w:val="00BA70C1"/>
    <w:rsid w:val="00BA776D"/>
    <w:rsid w:val="00BB10C1"/>
    <w:rsid w:val="00BB1561"/>
    <w:rsid w:val="00BB1E5B"/>
    <w:rsid w:val="00BB1EA8"/>
    <w:rsid w:val="00BB2677"/>
    <w:rsid w:val="00BB2A00"/>
    <w:rsid w:val="00BB2E56"/>
    <w:rsid w:val="00BB303E"/>
    <w:rsid w:val="00BB3C1C"/>
    <w:rsid w:val="00BB5943"/>
    <w:rsid w:val="00BB618E"/>
    <w:rsid w:val="00BB77C9"/>
    <w:rsid w:val="00BC072E"/>
    <w:rsid w:val="00BC0A6D"/>
    <w:rsid w:val="00BC0FCE"/>
    <w:rsid w:val="00BC1FD9"/>
    <w:rsid w:val="00BC270D"/>
    <w:rsid w:val="00BC2E1E"/>
    <w:rsid w:val="00BC3EC8"/>
    <w:rsid w:val="00BC6660"/>
    <w:rsid w:val="00BC6F87"/>
    <w:rsid w:val="00BC7F0F"/>
    <w:rsid w:val="00BD0104"/>
    <w:rsid w:val="00BD13EC"/>
    <w:rsid w:val="00BD2985"/>
    <w:rsid w:val="00BD3EFB"/>
    <w:rsid w:val="00BD51FC"/>
    <w:rsid w:val="00BD71F1"/>
    <w:rsid w:val="00BD7C36"/>
    <w:rsid w:val="00BE15DF"/>
    <w:rsid w:val="00BE31B9"/>
    <w:rsid w:val="00BE39A1"/>
    <w:rsid w:val="00BE40AC"/>
    <w:rsid w:val="00BE43F3"/>
    <w:rsid w:val="00BE48BB"/>
    <w:rsid w:val="00BE4CEF"/>
    <w:rsid w:val="00BE5883"/>
    <w:rsid w:val="00BE5A1A"/>
    <w:rsid w:val="00BE5F29"/>
    <w:rsid w:val="00BE61BC"/>
    <w:rsid w:val="00BE63F4"/>
    <w:rsid w:val="00BE698D"/>
    <w:rsid w:val="00BE7FDD"/>
    <w:rsid w:val="00BF0ABF"/>
    <w:rsid w:val="00BF3A30"/>
    <w:rsid w:val="00BF4A7D"/>
    <w:rsid w:val="00BF4F06"/>
    <w:rsid w:val="00BF6D4F"/>
    <w:rsid w:val="00BF7642"/>
    <w:rsid w:val="00C00F34"/>
    <w:rsid w:val="00C012D9"/>
    <w:rsid w:val="00C01721"/>
    <w:rsid w:val="00C01A1A"/>
    <w:rsid w:val="00C01A60"/>
    <w:rsid w:val="00C03B9F"/>
    <w:rsid w:val="00C03D80"/>
    <w:rsid w:val="00C04141"/>
    <w:rsid w:val="00C0428D"/>
    <w:rsid w:val="00C055EF"/>
    <w:rsid w:val="00C06406"/>
    <w:rsid w:val="00C07261"/>
    <w:rsid w:val="00C0762B"/>
    <w:rsid w:val="00C12484"/>
    <w:rsid w:val="00C12FC0"/>
    <w:rsid w:val="00C14321"/>
    <w:rsid w:val="00C14982"/>
    <w:rsid w:val="00C156A0"/>
    <w:rsid w:val="00C156FE"/>
    <w:rsid w:val="00C16302"/>
    <w:rsid w:val="00C16B2D"/>
    <w:rsid w:val="00C17D99"/>
    <w:rsid w:val="00C20C1D"/>
    <w:rsid w:val="00C21592"/>
    <w:rsid w:val="00C21FC0"/>
    <w:rsid w:val="00C238D0"/>
    <w:rsid w:val="00C23E02"/>
    <w:rsid w:val="00C2448D"/>
    <w:rsid w:val="00C24DAA"/>
    <w:rsid w:val="00C25197"/>
    <w:rsid w:val="00C278E4"/>
    <w:rsid w:val="00C31C10"/>
    <w:rsid w:val="00C32833"/>
    <w:rsid w:val="00C331D0"/>
    <w:rsid w:val="00C33F0B"/>
    <w:rsid w:val="00C33FF1"/>
    <w:rsid w:val="00C35A2C"/>
    <w:rsid w:val="00C36F69"/>
    <w:rsid w:val="00C37AA8"/>
    <w:rsid w:val="00C400DE"/>
    <w:rsid w:val="00C4053A"/>
    <w:rsid w:val="00C43302"/>
    <w:rsid w:val="00C4341B"/>
    <w:rsid w:val="00C436C1"/>
    <w:rsid w:val="00C4478F"/>
    <w:rsid w:val="00C449C0"/>
    <w:rsid w:val="00C4549B"/>
    <w:rsid w:val="00C47884"/>
    <w:rsid w:val="00C506DC"/>
    <w:rsid w:val="00C5153E"/>
    <w:rsid w:val="00C51829"/>
    <w:rsid w:val="00C541CC"/>
    <w:rsid w:val="00C54CCB"/>
    <w:rsid w:val="00C55849"/>
    <w:rsid w:val="00C55C7C"/>
    <w:rsid w:val="00C57865"/>
    <w:rsid w:val="00C60002"/>
    <w:rsid w:val="00C6120D"/>
    <w:rsid w:val="00C621B2"/>
    <w:rsid w:val="00C64635"/>
    <w:rsid w:val="00C67625"/>
    <w:rsid w:val="00C7154F"/>
    <w:rsid w:val="00C71F21"/>
    <w:rsid w:val="00C73FE0"/>
    <w:rsid w:val="00C747AE"/>
    <w:rsid w:val="00C7661E"/>
    <w:rsid w:val="00C7791A"/>
    <w:rsid w:val="00C77CDD"/>
    <w:rsid w:val="00C80D1B"/>
    <w:rsid w:val="00C80DA7"/>
    <w:rsid w:val="00C81CDF"/>
    <w:rsid w:val="00C90F51"/>
    <w:rsid w:val="00C914E8"/>
    <w:rsid w:val="00C945EE"/>
    <w:rsid w:val="00C9563D"/>
    <w:rsid w:val="00C95DA8"/>
    <w:rsid w:val="00C97CF2"/>
    <w:rsid w:val="00CA0149"/>
    <w:rsid w:val="00CA2399"/>
    <w:rsid w:val="00CA3664"/>
    <w:rsid w:val="00CA4B79"/>
    <w:rsid w:val="00CA4B7D"/>
    <w:rsid w:val="00CA4F88"/>
    <w:rsid w:val="00CA5643"/>
    <w:rsid w:val="00CA64EC"/>
    <w:rsid w:val="00CA6605"/>
    <w:rsid w:val="00CA7138"/>
    <w:rsid w:val="00CA7FB1"/>
    <w:rsid w:val="00CB097C"/>
    <w:rsid w:val="00CB0D6E"/>
    <w:rsid w:val="00CB2C54"/>
    <w:rsid w:val="00CB4E81"/>
    <w:rsid w:val="00CB5517"/>
    <w:rsid w:val="00CB5C11"/>
    <w:rsid w:val="00CB5CF6"/>
    <w:rsid w:val="00CB73BF"/>
    <w:rsid w:val="00CC3D5A"/>
    <w:rsid w:val="00CC5E60"/>
    <w:rsid w:val="00CC6AFE"/>
    <w:rsid w:val="00CD148D"/>
    <w:rsid w:val="00CD1588"/>
    <w:rsid w:val="00CD2838"/>
    <w:rsid w:val="00CD2EA9"/>
    <w:rsid w:val="00CD5882"/>
    <w:rsid w:val="00CD7370"/>
    <w:rsid w:val="00CE0E28"/>
    <w:rsid w:val="00CE1F73"/>
    <w:rsid w:val="00CE22BF"/>
    <w:rsid w:val="00CE2B8D"/>
    <w:rsid w:val="00CE38AF"/>
    <w:rsid w:val="00CE397A"/>
    <w:rsid w:val="00CE6DDD"/>
    <w:rsid w:val="00CE6E04"/>
    <w:rsid w:val="00CF04DF"/>
    <w:rsid w:val="00CF2146"/>
    <w:rsid w:val="00CF3548"/>
    <w:rsid w:val="00CF3C10"/>
    <w:rsid w:val="00CF5CB5"/>
    <w:rsid w:val="00CF701A"/>
    <w:rsid w:val="00CF7279"/>
    <w:rsid w:val="00D013CD"/>
    <w:rsid w:val="00D014A8"/>
    <w:rsid w:val="00D01C8A"/>
    <w:rsid w:val="00D01E7B"/>
    <w:rsid w:val="00D04F68"/>
    <w:rsid w:val="00D04FB5"/>
    <w:rsid w:val="00D061BD"/>
    <w:rsid w:val="00D06C68"/>
    <w:rsid w:val="00D06F41"/>
    <w:rsid w:val="00D07162"/>
    <w:rsid w:val="00D07CE3"/>
    <w:rsid w:val="00D11467"/>
    <w:rsid w:val="00D12F5E"/>
    <w:rsid w:val="00D1418F"/>
    <w:rsid w:val="00D15F47"/>
    <w:rsid w:val="00D162E1"/>
    <w:rsid w:val="00D17BD0"/>
    <w:rsid w:val="00D17BD2"/>
    <w:rsid w:val="00D217F9"/>
    <w:rsid w:val="00D21FD0"/>
    <w:rsid w:val="00D22682"/>
    <w:rsid w:val="00D234BC"/>
    <w:rsid w:val="00D305AC"/>
    <w:rsid w:val="00D31F68"/>
    <w:rsid w:val="00D3215D"/>
    <w:rsid w:val="00D33F6A"/>
    <w:rsid w:val="00D34958"/>
    <w:rsid w:val="00D35186"/>
    <w:rsid w:val="00D36FB0"/>
    <w:rsid w:val="00D47A4F"/>
    <w:rsid w:val="00D5089F"/>
    <w:rsid w:val="00D50D2C"/>
    <w:rsid w:val="00D51FAF"/>
    <w:rsid w:val="00D52914"/>
    <w:rsid w:val="00D52A24"/>
    <w:rsid w:val="00D55423"/>
    <w:rsid w:val="00D557C3"/>
    <w:rsid w:val="00D56F89"/>
    <w:rsid w:val="00D641C1"/>
    <w:rsid w:val="00D65570"/>
    <w:rsid w:val="00D65AED"/>
    <w:rsid w:val="00D662EE"/>
    <w:rsid w:val="00D6668A"/>
    <w:rsid w:val="00D675D7"/>
    <w:rsid w:val="00D6793B"/>
    <w:rsid w:val="00D67CF1"/>
    <w:rsid w:val="00D67D53"/>
    <w:rsid w:val="00D704DF"/>
    <w:rsid w:val="00D70C65"/>
    <w:rsid w:val="00D70F9A"/>
    <w:rsid w:val="00D72688"/>
    <w:rsid w:val="00D76EF5"/>
    <w:rsid w:val="00D77224"/>
    <w:rsid w:val="00D77B6B"/>
    <w:rsid w:val="00D80B65"/>
    <w:rsid w:val="00D8138B"/>
    <w:rsid w:val="00D81E45"/>
    <w:rsid w:val="00D81EEE"/>
    <w:rsid w:val="00D830F1"/>
    <w:rsid w:val="00D8314A"/>
    <w:rsid w:val="00D8520B"/>
    <w:rsid w:val="00D85640"/>
    <w:rsid w:val="00D866EC"/>
    <w:rsid w:val="00D91AA8"/>
    <w:rsid w:val="00D93430"/>
    <w:rsid w:val="00D94682"/>
    <w:rsid w:val="00D956DA"/>
    <w:rsid w:val="00DA042F"/>
    <w:rsid w:val="00DA11CA"/>
    <w:rsid w:val="00DA2312"/>
    <w:rsid w:val="00DA296E"/>
    <w:rsid w:val="00DA5919"/>
    <w:rsid w:val="00DA5F8E"/>
    <w:rsid w:val="00DA7416"/>
    <w:rsid w:val="00DA7B90"/>
    <w:rsid w:val="00DB1030"/>
    <w:rsid w:val="00DB1BC2"/>
    <w:rsid w:val="00DB249D"/>
    <w:rsid w:val="00DB28E5"/>
    <w:rsid w:val="00DB460F"/>
    <w:rsid w:val="00DB52C0"/>
    <w:rsid w:val="00DB5EAD"/>
    <w:rsid w:val="00DB668A"/>
    <w:rsid w:val="00DB6BD2"/>
    <w:rsid w:val="00DB6CB4"/>
    <w:rsid w:val="00DC5A36"/>
    <w:rsid w:val="00DC5CA1"/>
    <w:rsid w:val="00DC62D6"/>
    <w:rsid w:val="00DD035F"/>
    <w:rsid w:val="00DD3F56"/>
    <w:rsid w:val="00DD439D"/>
    <w:rsid w:val="00DD5B89"/>
    <w:rsid w:val="00DD7645"/>
    <w:rsid w:val="00DE2931"/>
    <w:rsid w:val="00DE3EF4"/>
    <w:rsid w:val="00DE4C5C"/>
    <w:rsid w:val="00DE5763"/>
    <w:rsid w:val="00DE59B1"/>
    <w:rsid w:val="00DE5C80"/>
    <w:rsid w:val="00DE6CA2"/>
    <w:rsid w:val="00DE76F1"/>
    <w:rsid w:val="00DE7B31"/>
    <w:rsid w:val="00DF133D"/>
    <w:rsid w:val="00DF2C9F"/>
    <w:rsid w:val="00DF383F"/>
    <w:rsid w:val="00DF421E"/>
    <w:rsid w:val="00DF507E"/>
    <w:rsid w:val="00DF6B80"/>
    <w:rsid w:val="00DF7981"/>
    <w:rsid w:val="00E008DE"/>
    <w:rsid w:val="00E0131A"/>
    <w:rsid w:val="00E02E2D"/>
    <w:rsid w:val="00E0323E"/>
    <w:rsid w:val="00E04000"/>
    <w:rsid w:val="00E0408E"/>
    <w:rsid w:val="00E043A7"/>
    <w:rsid w:val="00E05123"/>
    <w:rsid w:val="00E05B4B"/>
    <w:rsid w:val="00E10585"/>
    <w:rsid w:val="00E11348"/>
    <w:rsid w:val="00E1141A"/>
    <w:rsid w:val="00E14FA6"/>
    <w:rsid w:val="00E15D04"/>
    <w:rsid w:val="00E15F2D"/>
    <w:rsid w:val="00E1744D"/>
    <w:rsid w:val="00E175BF"/>
    <w:rsid w:val="00E17F87"/>
    <w:rsid w:val="00E205E7"/>
    <w:rsid w:val="00E21A31"/>
    <w:rsid w:val="00E21DB0"/>
    <w:rsid w:val="00E22C0A"/>
    <w:rsid w:val="00E23E5F"/>
    <w:rsid w:val="00E2511E"/>
    <w:rsid w:val="00E257CF"/>
    <w:rsid w:val="00E306BB"/>
    <w:rsid w:val="00E3087F"/>
    <w:rsid w:val="00E3098F"/>
    <w:rsid w:val="00E31281"/>
    <w:rsid w:val="00E32A0D"/>
    <w:rsid w:val="00E33658"/>
    <w:rsid w:val="00E33FED"/>
    <w:rsid w:val="00E3449B"/>
    <w:rsid w:val="00E352F2"/>
    <w:rsid w:val="00E35D0A"/>
    <w:rsid w:val="00E4005B"/>
    <w:rsid w:val="00E401ED"/>
    <w:rsid w:val="00E41DE5"/>
    <w:rsid w:val="00E41EA8"/>
    <w:rsid w:val="00E42579"/>
    <w:rsid w:val="00E425D7"/>
    <w:rsid w:val="00E4338A"/>
    <w:rsid w:val="00E43731"/>
    <w:rsid w:val="00E43781"/>
    <w:rsid w:val="00E43B3E"/>
    <w:rsid w:val="00E44721"/>
    <w:rsid w:val="00E45141"/>
    <w:rsid w:val="00E4519C"/>
    <w:rsid w:val="00E45534"/>
    <w:rsid w:val="00E468E6"/>
    <w:rsid w:val="00E4713A"/>
    <w:rsid w:val="00E50DCD"/>
    <w:rsid w:val="00E51617"/>
    <w:rsid w:val="00E5390B"/>
    <w:rsid w:val="00E54BE2"/>
    <w:rsid w:val="00E56632"/>
    <w:rsid w:val="00E57301"/>
    <w:rsid w:val="00E579C5"/>
    <w:rsid w:val="00E57AC9"/>
    <w:rsid w:val="00E605EA"/>
    <w:rsid w:val="00E62D89"/>
    <w:rsid w:val="00E62E6A"/>
    <w:rsid w:val="00E63D83"/>
    <w:rsid w:val="00E641BB"/>
    <w:rsid w:val="00E65081"/>
    <w:rsid w:val="00E65DAE"/>
    <w:rsid w:val="00E6685F"/>
    <w:rsid w:val="00E70904"/>
    <w:rsid w:val="00E72502"/>
    <w:rsid w:val="00E7424D"/>
    <w:rsid w:val="00E743B6"/>
    <w:rsid w:val="00E74694"/>
    <w:rsid w:val="00E75B88"/>
    <w:rsid w:val="00E75F7A"/>
    <w:rsid w:val="00E76B6C"/>
    <w:rsid w:val="00E76FE3"/>
    <w:rsid w:val="00E8074A"/>
    <w:rsid w:val="00E81DD2"/>
    <w:rsid w:val="00E83063"/>
    <w:rsid w:val="00E915A2"/>
    <w:rsid w:val="00E920BA"/>
    <w:rsid w:val="00E9224D"/>
    <w:rsid w:val="00E926A0"/>
    <w:rsid w:val="00E928B9"/>
    <w:rsid w:val="00E92A0A"/>
    <w:rsid w:val="00E93A08"/>
    <w:rsid w:val="00E96281"/>
    <w:rsid w:val="00E97D7C"/>
    <w:rsid w:val="00EA0FBD"/>
    <w:rsid w:val="00EA102E"/>
    <w:rsid w:val="00EA20CD"/>
    <w:rsid w:val="00EA3127"/>
    <w:rsid w:val="00EA39DB"/>
    <w:rsid w:val="00EA4244"/>
    <w:rsid w:val="00EA7082"/>
    <w:rsid w:val="00EB0742"/>
    <w:rsid w:val="00EB1EBC"/>
    <w:rsid w:val="00EB49CD"/>
    <w:rsid w:val="00EB4B66"/>
    <w:rsid w:val="00EB5953"/>
    <w:rsid w:val="00EB6984"/>
    <w:rsid w:val="00EB6A96"/>
    <w:rsid w:val="00EB71BE"/>
    <w:rsid w:val="00EB7829"/>
    <w:rsid w:val="00EC0CD6"/>
    <w:rsid w:val="00EC2585"/>
    <w:rsid w:val="00EC5F77"/>
    <w:rsid w:val="00EC719E"/>
    <w:rsid w:val="00EC71C8"/>
    <w:rsid w:val="00EC76E0"/>
    <w:rsid w:val="00EC7871"/>
    <w:rsid w:val="00EC7FA1"/>
    <w:rsid w:val="00ED0292"/>
    <w:rsid w:val="00ED1785"/>
    <w:rsid w:val="00ED2726"/>
    <w:rsid w:val="00ED2D76"/>
    <w:rsid w:val="00ED342E"/>
    <w:rsid w:val="00ED76FA"/>
    <w:rsid w:val="00ED7AF0"/>
    <w:rsid w:val="00ED7B52"/>
    <w:rsid w:val="00EE002C"/>
    <w:rsid w:val="00EE2BCA"/>
    <w:rsid w:val="00EE48D9"/>
    <w:rsid w:val="00EE7BBB"/>
    <w:rsid w:val="00EE7EED"/>
    <w:rsid w:val="00EF0C36"/>
    <w:rsid w:val="00EF43C9"/>
    <w:rsid w:val="00EF5548"/>
    <w:rsid w:val="00EF6DA0"/>
    <w:rsid w:val="00EF740A"/>
    <w:rsid w:val="00F0106E"/>
    <w:rsid w:val="00F0110F"/>
    <w:rsid w:val="00F01A0D"/>
    <w:rsid w:val="00F03A58"/>
    <w:rsid w:val="00F10FA5"/>
    <w:rsid w:val="00F1286D"/>
    <w:rsid w:val="00F13048"/>
    <w:rsid w:val="00F132B2"/>
    <w:rsid w:val="00F139FE"/>
    <w:rsid w:val="00F15291"/>
    <w:rsid w:val="00F1571A"/>
    <w:rsid w:val="00F213A6"/>
    <w:rsid w:val="00F21B90"/>
    <w:rsid w:val="00F235F6"/>
    <w:rsid w:val="00F247E3"/>
    <w:rsid w:val="00F24AFA"/>
    <w:rsid w:val="00F25B19"/>
    <w:rsid w:val="00F27ABF"/>
    <w:rsid w:val="00F27E0E"/>
    <w:rsid w:val="00F310F8"/>
    <w:rsid w:val="00F321F8"/>
    <w:rsid w:val="00F32273"/>
    <w:rsid w:val="00F32472"/>
    <w:rsid w:val="00F333F0"/>
    <w:rsid w:val="00F3643D"/>
    <w:rsid w:val="00F36B19"/>
    <w:rsid w:val="00F36E18"/>
    <w:rsid w:val="00F37FB5"/>
    <w:rsid w:val="00F4002F"/>
    <w:rsid w:val="00F41C6F"/>
    <w:rsid w:val="00F43D9C"/>
    <w:rsid w:val="00F4531E"/>
    <w:rsid w:val="00F464EB"/>
    <w:rsid w:val="00F477E1"/>
    <w:rsid w:val="00F51E8E"/>
    <w:rsid w:val="00F53E9B"/>
    <w:rsid w:val="00F554B8"/>
    <w:rsid w:val="00F55BE7"/>
    <w:rsid w:val="00F567BD"/>
    <w:rsid w:val="00F57009"/>
    <w:rsid w:val="00F5728A"/>
    <w:rsid w:val="00F579A8"/>
    <w:rsid w:val="00F601A2"/>
    <w:rsid w:val="00F605FA"/>
    <w:rsid w:val="00F63107"/>
    <w:rsid w:val="00F637BC"/>
    <w:rsid w:val="00F64583"/>
    <w:rsid w:val="00F666C1"/>
    <w:rsid w:val="00F66FFE"/>
    <w:rsid w:val="00F703C1"/>
    <w:rsid w:val="00F7089E"/>
    <w:rsid w:val="00F7117D"/>
    <w:rsid w:val="00F72126"/>
    <w:rsid w:val="00F749EA"/>
    <w:rsid w:val="00F7653F"/>
    <w:rsid w:val="00F7668B"/>
    <w:rsid w:val="00F770B9"/>
    <w:rsid w:val="00F80324"/>
    <w:rsid w:val="00F80563"/>
    <w:rsid w:val="00F81361"/>
    <w:rsid w:val="00F8291A"/>
    <w:rsid w:val="00F8377F"/>
    <w:rsid w:val="00F84299"/>
    <w:rsid w:val="00F85419"/>
    <w:rsid w:val="00F866F3"/>
    <w:rsid w:val="00F86AE1"/>
    <w:rsid w:val="00F90C41"/>
    <w:rsid w:val="00F9166F"/>
    <w:rsid w:val="00F942A6"/>
    <w:rsid w:val="00F95BE2"/>
    <w:rsid w:val="00FA10DF"/>
    <w:rsid w:val="00FA384E"/>
    <w:rsid w:val="00FA4FC0"/>
    <w:rsid w:val="00FA5629"/>
    <w:rsid w:val="00FA65E9"/>
    <w:rsid w:val="00FB0437"/>
    <w:rsid w:val="00FB1AD8"/>
    <w:rsid w:val="00FB46E8"/>
    <w:rsid w:val="00FB553D"/>
    <w:rsid w:val="00FB5EE0"/>
    <w:rsid w:val="00FC4311"/>
    <w:rsid w:val="00FC448C"/>
    <w:rsid w:val="00FC4815"/>
    <w:rsid w:val="00FC4C9F"/>
    <w:rsid w:val="00FC4DC6"/>
    <w:rsid w:val="00FC6279"/>
    <w:rsid w:val="00FC7D16"/>
    <w:rsid w:val="00FD0CA5"/>
    <w:rsid w:val="00FD14A8"/>
    <w:rsid w:val="00FD2258"/>
    <w:rsid w:val="00FD251B"/>
    <w:rsid w:val="00FD30BA"/>
    <w:rsid w:val="00FD3164"/>
    <w:rsid w:val="00FD36A5"/>
    <w:rsid w:val="00FD4D3B"/>
    <w:rsid w:val="00FD5371"/>
    <w:rsid w:val="00FD675B"/>
    <w:rsid w:val="00FD738B"/>
    <w:rsid w:val="00FD7797"/>
    <w:rsid w:val="00FD7E1B"/>
    <w:rsid w:val="00FE2A10"/>
    <w:rsid w:val="00FE2EC2"/>
    <w:rsid w:val="00FE35A1"/>
    <w:rsid w:val="00FE5298"/>
    <w:rsid w:val="00FE6517"/>
    <w:rsid w:val="00FE7429"/>
    <w:rsid w:val="00FE746C"/>
    <w:rsid w:val="00FF0D7C"/>
    <w:rsid w:val="00FF2490"/>
    <w:rsid w:val="00FF4799"/>
    <w:rsid w:val="00FF4C31"/>
    <w:rsid w:val="00FF60B8"/>
    <w:rsid w:val="00FF770E"/>
    <w:rsid w:val="00FF7ACD"/>
    <w:rsid w:val="00FF7E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4ED97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86E"/>
  </w:style>
  <w:style w:type="paragraph" w:styleId="Heading1">
    <w:name w:val="heading 1"/>
    <w:basedOn w:val="Normal"/>
    <w:next w:val="Normal"/>
    <w:link w:val="Heading1Char"/>
    <w:uiPriority w:val="9"/>
    <w:qFormat/>
    <w:rsid w:val="00674D5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B106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8C57B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717"/>
    <w:pPr>
      <w:ind w:left="720"/>
      <w:contextualSpacing/>
    </w:pPr>
  </w:style>
  <w:style w:type="paragraph" w:styleId="FootnoteText">
    <w:name w:val="footnote text"/>
    <w:basedOn w:val="Normal"/>
    <w:link w:val="FootnoteTextChar"/>
    <w:unhideWhenUsed/>
    <w:rsid w:val="00C64635"/>
  </w:style>
  <w:style w:type="character" w:customStyle="1" w:styleId="FootnoteTextChar">
    <w:name w:val="Footnote Text Char"/>
    <w:basedOn w:val="DefaultParagraphFont"/>
    <w:link w:val="FootnoteText"/>
    <w:rsid w:val="00C64635"/>
  </w:style>
  <w:style w:type="character" w:styleId="FootnoteReference">
    <w:name w:val="footnote reference"/>
    <w:basedOn w:val="DefaultParagraphFont"/>
    <w:uiPriority w:val="99"/>
    <w:unhideWhenUsed/>
    <w:rsid w:val="00C64635"/>
    <w:rPr>
      <w:vertAlign w:val="superscript"/>
    </w:rPr>
  </w:style>
  <w:style w:type="character" w:styleId="Strong">
    <w:name w:val="Strong"/>
    <w:basedOn w:val="DefaultParagraphFont"/>
    <w:uiPriority w:val="22"/>
    <w:qFormat/>
    <w:rsid w:val="00742746"/>
    <w:rPr>
      <w:b/>
      <w:bCs/>
    </w:rPr>
  </w:style>
  <w:style w:type="paragraph" w:styleId="Footer">
    <w:name w:val="footer"/>
    <w:basedOn w:val="Normal"/>
    <w:link w:val="FooterChar"/>
    <w:uiPriority w:val="99"/>
    <w:unhideWhenUsed/>
    <w:rsid w:val="00A407D7"/>
    <w:pPr>
      <w:tabs>
        <w:tab w:val="center" w:pos="4680"/>
        <w:tab w:val="right" w:pos="9360"/>
      </w:tabs>
    </w:pPr>
  </w:style>
  <w:style w:type="character" w:customStyle="1" w:styleId="FooterChar">
    <w:name w:val="Footer Char"/>
    <w:basedOn w:val="DefaultParagraphFont"/>
    <w:link w:val="Footer"/>
    <w:uiPriority w:val="99"/>
    <w:rsid w:val="00A407D7"/>
  </w:style>
  <w:style w:type="character" w:styleId="PageNumber">
    <w:name w:val="page number"/>
    <w:basedOn w:val="DefaultParagraphFont"/>
    <w:uiPriority w:val="99"/>
    <w:semiHidden/>
    <w:unhideWhenUsed/>
    <w:rsid w:val="00A407D7"/>
  </w:style>
  <w:style w:type="paragraph" w:styleId="Header">
    <w:name w:val="header"/>
    <w:basedOn w:val="Normal"/>
    <w:link w:val="HeaderChar"/>
    <w:uiPriority w:val="99"/>
    <w:unhideWhenUsed/>
    <w:rsid w:val="00A407D7"/>
    <w:pPr>
      <w:tabs>
        <w:tab w:val="center" w:pos="4680"/>
        <w:tab w:val="right" w:pos="9360"/>
      </w:tabs>
    </w:pPr>
  </w:style>
  <w:style w:type="character" w:customStyle="1" w:styleId="HeaderChar">
    <w:name w:val="Header Char"/>
    <w:basedOn w:val="DefaultParagraphFont"/>
    <w:link w:val="Header"/>
    <w:uiPriority w:val="99"/>
    <w:rsid w:val="00A407D7"/>
  </w:style>
  <w:style w:type="character" w:styleId="Hyperlink">
    <w:name w:val="Hyperlink"/>
    <w:basedOn w:val="DefaultParagraphFont"/>
    <w:uiPriority w:val="99"/>
    <w:unhideWhenUsed/>
    <w:rsid w:val="006343F1"/>
    <w:rPr>
      <w:color w:val="0563C1" w:themeColor="hyperlink"/>
      <w:u w:val="single"/>
    </w:rPr>
  </w:style>
  <w:style w:type="character" w:customStyle="1" w:styleId="Heading1Char">
    <w:name w:val="Heading 1 Char"/>
    <w:basedOn w:val="DefaultParagraphFont"/>
    <w:link w:val="Heading1"/>
    <w:uiPriority w:val="9"/>
    <w:rsid w:val="00674D51"/>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4B49F4"/>
    <w:rPr>
      <w:sz w:val="18"/>
      <w:szCs w:val="18"/>
    </w:rPr>
  </w:style>
  <w:style w:type="paragraph" w:styleId="CommentText">
    <w:name w:val="annotation text"/>
    <w:basedOn w:val="Normal"/>
    <w:link w:val="CommentTextChar"/>
    <w:uiPriority w:val="99"/>
    <w:semiHidden/>
    <w:unhideWhenUsed/>
    <w:rsid w:val="004B49F4"/>
  </w:style>
  <w:style w:type="character" w:customStyle="1" w:styleId="CommentTextChar">
    <w:name w:val="Comment Text Char"/>
    <w:basedOn w:val="DefaultParagraphFont"/>
    <w:link w:val="CommentText"/>
    <w:uiPriority w:val="99"/>
    <w:semiHidden/>
    <w:rsid w:val="004B49F4"/>
  </w:style>
  <w:style w:type="paragraph" w:styleId="CommentSubject">
    <w:name w:val="annotation subject"/>
    <w:basedOn w:val="CommentText"/>
    <w:next w:val="CommentText"/>
    <w:link w:val="CommentSubjectChar"/>
    <w:uiPriority w:val="99"/>
    <w:semiHidden/>
    <w:unhideWhenUsed/>
    <w:rsid w:val="004B49F4"/>
    <w:rPr>
      <w:b/>
      <w:bCs/>
      <w:sz w:val="20"/>
      <w:szCs w:val="20"/>
    </w:rPr>
  </w:style>
  <w:style w:type="character" w:customStyle="1" w:styleId="CommentSubjectChar">
    <w:name w:val="Comment Subject Char"/>
    <w:basedOn w:val="CommentTextChar"/>
    <w:link w:val="CommentSubject"/>
    <w:uiPriority w:val="99"/>
    <w:semiHidden/>
    <w:rsid w:val="004B49F4"/>
    <w:rPr>
      <w:b/>
      <w:bCs/>
      <w:sz w:val="20"/>
      <w:szCs w:val="20"/>
    </w:rPr>
  </w:style>
  <w:style w:type="paragraph" w:styleId="BalloonText">
    <w:name w:val="Balloon Text"/>
    <w:basedOn w:val="Normal"/>
    <w:link w:val="BalloonTextChar"/>
    <w:uiPriority w:val="99"/>
    <w:semiHidden/>
    <w:unhideWhenUsed/>
    <w:rsid w:val="004B49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49F4"/>
    <w:rPr>
      <w:rFonts w:ascii="Lucida Grande" w:hAnsi="Lucida Grande" w:cs="Lucida Grande"/>
      <w:sz w:val="18"/>
      <w:szCs w:val="18"/>
    </w:rPr>
  </w:style>
  <w:style w:type="paragraph" w:styleId="DocumentMap">
    <w:name w:val="Document Map"/>
    <w:basedOn w:val="Normal"/>
    <w:link w:val="DocumentMapChar"/>
    <w:uiPriority w:val="99"/>
    <w:semiHidden/>
    <w:unhideWhenUsed/>
    <w:rsid w:val="00950C1E"/>
    <w:rPr>
      <w:rFonts w:ascii="Times New Roman" w:hAnsi="Times New Roman" w:cs="Times New Roman"/>
    </w:rPr>
  </w:style>
  <w:style w:type="character" w:customStyle="1" w:styleId="DocumentMapChar">
    <w:name w:val="Document Map Char"/>
    <w:basedOn w:val="DefaultParagraphFont"/>
    <w:link w:val="DocumentMap"/>
    <w:uiPriority w:val="99"/>
    <w:semiHidden/>
    <w:rsid w:val="00950C1E"/>
    <w:rPr>
      <w:rFonts w:ascii="Times New Roman" w:hAnsi="Times New Roman" w:cs="Times New Roman"/>
    </w:rPr>
  </w:style>
  <w:style w:type="character" w:styleId="FollowedHyperlink">
    <w:name w:val="FollowedHyperlink"/>
    <w:basedOn w:val="DefaultParagraphFont"/>
    <w:uiPriority w:val="99"/>
    <w:semiHidden/>
    <w:unhideWhenUsed/>
    <w:rsid w:val="00780CBB"/>
    <w:rPr>
      <w:color w:val="954F72" w:themeColor="followedHyperlink"/>
      <w:u w:val="single"/>
    </w:rPr>
  </w:style>
  <w:style w:type="paragraph" w:styleId="Revision">
    <w:name w:val="Revision"/>
    <w:hidden/>
    <w:uiPriority w:val="99"/>
    <w:semiHidden/>
    <w:rsid w:val="00234752"/>
  </w:style>
  <w:style w:type="character" w:customStyle="1" w:styleId="Heading2Char">
    <w:name w:val="Heading 2 Char"/>
    <w:basedOn w:val="DefaultParagraphFont"/>
    <w:link w:val="Heading2"/>
    <w:uiPriority w:val="9"/>
    <w:semiHidden/>
    <w:rsid w:val="006B1061"/>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8C57B4"/>
    <w:rPr>
      <w:rFonts w:asciiTheme="majorHAnsi" w:eastAsiaTheme="majorEastAsia" w:hAnsiTheme="majorHAnsi" w:cstheme="majorBidi"/>
      <w:i/>
      <w:iCs/>
      <w:color w:val="2E74B5" w:themeColor="accent1" w:themeShade="BF"/>
    </w:rPr>
  </w:style>
  <w:style w:type="character" w:styleId="SubtleEmphasis">
    <w:name w:val="Subtle Emphasis"/>
    <w:basedOn w:val="DefaultParagraphFont"/>
    <w:uiPriority w:val="19"/>
    <w:qFormat/>
    <w:rsid w:val="00DF2C9F"/>
    <w:rPr>
      <w:i/>
      <w:iCs/>
      <w:color w:val="404040" w:themeColor="text1" w:themeTint="BF"/>
    </w:rPr>
  </w:style>
  <w:style w:type="character" w:customStyle="1" w:styleId="apple-converted-space">
    <w:name w:val="apple-converted-space"/>
    <w:basedOn w:val="DefaultParagraphFont"/>
    <w:rsid w:val="00DC62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86E"/>
  </w:style>
  <w:style w:type="paragraph" w:styleId="Heading1">
    <w:name w:val="heading 1"/>
    <w:basedOn w:val="Normal"/>
    <w:next w:val="Normal"/>
    <w:link w:val="Heading1Char"/>
    <w:uiPriority w:val="9"/>
    <w:qFormat/>
    <w:rsid w:val="00674D5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B106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8C57B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717"/>
    <w:pPr>
      <w:ind w:left="720"/>
      <w:contextualSpacing/>
    </w:pPr>
  </w:style>
  <w:style w:type="paragraph" w:styleId="FootnoteText">
    <w:name w:val="footnote text"/>
    <w:basedOn w:val="Normal"/>
    <w:link w:val="FootnoteTextChar"/>
    <w:unhideWhenUsed/>
    <w:rsid w:val="00C64635"/>
  </w:style>
  <w:style w:type="character" w:customStyle="1" w:styleId="FootnoteTextChar">
    <w:name w:val="Footnote Text Char"/>
    <w:basedOn w:val="DefaultParagraphFont"/>
    <w:link w:val="FootnoteText"/>
    <w:rsid w:val="00C64635"/>
  </w:style>
  <w:style w:type="character" w:styleId="FootnoteReference">
    <w:name w:val="footnote reference"/>
    <w:basedOn w:val="DefaultParagraphFont"/>
    <w:uiPriority w:val="99"/>
    <w:unhideWhenUsed/>
    <w:rsid w:val="00C64635"/>
    <w:rPr>
      <w:vertAlign w:val="superscript"/>
    </w:rPr>
  </w:style>
  <w:style w:type="character" w:styleId="Strong">
    <w:name w:val="Strong"/>
    <w:basedOn w:val="DefaultParagraphFont"/>
    <w:uiPriority w:val="22"/>
    <w:qFormat/>
    <w:rsid w:val="00742746"/>
    <w:rPr>
      <w:b/>
      <w:bCs/>
    </w:rPr>
  </w:style>
  <w:style w:type="paragraph" w:styleId="Footer">
    <w:name w:val="footer"/>
    <w:basedOn w:val="Normal"/>
    <w:link w:val="FooterChar"/>
    <w:uiPriority w:val="99"/>
    <w:unhideWhenUsed/>
    <w:rsid w:val="00A407D7"/>
    <w:pPr>
      <w:tabs>
        <w:tab w:val="center" w:pos="4680"/>
        <w:tab w:val="right" w:pos="9360"/>
      </w:tabs>
    </w:pPr>
  </w:style>
  <w:style w:type="character" w:customStyle="1" w:styleId="FooterChar">
    <w:name w:val="Footer Char"/>
    <w:basedOn w:val="DefaultParagraphFont"/>
    <w:link w:val="Footer"/>
    <w:uiPriority w:val="99"/>
    <w:rsid w:val="00A407D7"/>
  </w:style>
  <w:style w:type="character" w:styleId="PageNumber">
    <w:name w:val="page number"/>
    <w:basedOn w:val="DefaultParagraphFont"/>
    <w:uiPriority w:val="99"/>
    <w:semiHidden/>
    <w:unhideWhenUsed/>
    <w:rsid w:val="00A407D7"/>
  </w:style>
  <w:style w:type="paragraph" w:styleId="Header">
    <w:name w:val="header"/>
    <w:basedOn w:val="Normal"/>
    <w:link w:val="HeaderChar"/>
    <w:uiPriority w:val="99"/>
    <w:unhideWhenUsed/>
    <w:rsid w:val="00A407D7"/>
    <w:pPr>
      <w:tabs>
        <w:tab w:val="center" w:pos="4680"/>
        <w:tab w:val="right" w:pos="9360"/>
      </w:tabs>
    </w:pPr>
  </w:style>
  <w:style w:type="character" w:customStyle="1" w:styleId="HeaderChar">
    <w:name w:val="Header Char"/>
    <w:basedOn w:val="DefaultParagraphFont"/>
    <w:link w:val="Header"/>
    <w:uiPriority w:val="99"/>
    <w:rsid w:val="00A407D7"/>
  </w:style>
  <w:style w:type="character" w:styleId="Hyperlink">
    <w:name w:val="Hyperlink"/>
    <w:basedOn w:val="DefaultParagraphFont"/>
    <w:uiPriority w:val="99"/>
    <w:unhideWhenUsed/>
    <w:rsid w:val="006343F1"/>
    <w:rPr>
      <w:color w:val="0563C1" w:themeColor="hyperlink"/>
      <w:u w:val="single"/>
    </w:rPr>
  </w:style>
  <w:style w:type="character" w:customStyle="1" w:styleId="Heading1Char">
    <w:name w:val="Heading 1 Char"/>
    <w:basedOn w:val="DefaultParagraphFont"/>
    <w:link w:val="Heading1"/>
    <w:uiPriority w:val="9"/>
    <w:rsid w:val="00674D51"/>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4B49F4"/>
    <w:rPr>
      <w:sz w:val="18"/>
      <w:szCs w:val="18"/>
    </w:rPr>
  </w:style>
  <w:style w:type="paragraph" w:styleId="CommentText">
    <w:name w:val="annotation text"/>
    <w:basedOn w:val="Normal"/>
    <w:link w:val="CommentTextChar"/>
    <w:uiPriority w:val="99"/>
    <w:semiHidden/>
    <w:unhideWhenUsed/>
    <w:rsid w:val="004B49F4"/>
  </w:style>
  <w:style w:type="character" w:customStyle="1" w:styleId="CommentTextChar">
    <w:name w:val="Comment Text Char"/>
    <w:basedOn w:val="DefaultParagraphFont"/>
    <w:link w:val="CommentText"/>
    <w:uiPriority w:val="99"/>
    <w:semiHidden/>
    <w:rsid w:val="004B49F4"/>
  </w:style>
  <w:style w:type="paragraph" w:styleId="CommentSubject">
    <w:name w:val="annotation subject"/>
    <w:basedOn w:val="CommentText"/>
    <w:next w:val="CommentText"/>
    <w:link w:val="CommentSubjectChar"/>
    <w:uiPriority w:val="99"/>
    <w:semiHidden/>
    <w:unhideWhenUsed/>
    <w:rsid w:val="004B49F4"/>
    <w:rPr>
      <w:b/>
      <w:bCs/>
      <w:sz w:val="20"/>
      <w:szCs w:val="20"/>
    </w:rPr>
  </w:style>
  <w:style w:type="character" w:customStyle="1" w:styleId="CommentSubjectChar">
    <w:name w:val="Comment Subject Char"/>
    <w:basedOn w:val="CommentTextChar"/>
    <w:link w:val="CommentSubject"/>
    <w:uiPriority w:val="99"/>
    <w:semiHidden/>
    <w:rsid w:val="004B49F4"/>
    <w:rPr>
      <w:b/>
      <w:bCs/>
      <w:sz w:val="20"/>
      <w:szCs w:val="20"/>
    </w:rPr>
  </w:style>
  <w:style w:type="paragraph" w:styleId="BalloonText">
    <w:name w:val="Balloon Text"/>
    <w:basedOn w:val="Normal"/>
    <w:link w:val="BalloonTextChar"/>
    <w:uiPriority w:val="99"/>
    <w:semiHidden/>
    <w:unhideWhenUsed/>
    <w:rsid w:val="004B49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49F4"/>
    <w:rPr>
      <w:rFonts w:ascii="Lucida Grande" w:hAnsi="Lucida Grande" w:cs="Lucida Grande"/>
      <w:sz w:val="18"/>
      <w:szCs w:val="18"/>
    </w:rPr>
  </w:style>
  <w:style w:type="paragraph" w:styleId="DocumentMap">
    <w:name w:val="Document Map"/>
    <w:basedOn w:val="Normal"/>
    <w:link w:val="DocumentMapChar"/>
    <w:uiPriority w:val="99"/>
    <w:semiHidden/>
    <w:unhideWhenUsed/>
    <w:rsid w:val="00950C1E"/>
    <w:rPr>
      <w:rFonts w:ascii="Times New Roman" w:hAnsi="Times New Roman" w:cs="Times New Roman"/>
    </w:rPr>
  </w:style>
  <w:style w:type="character" w:customStyle="1" w:styleId="DocumentMapChar">
    <w:name w:val="Document Map Char"/>
    <w:basedOn w:val="DefaultParagraphFont"/>
    <w:link w:val="DocumentMap"/>
    <w:uiPriority w:val="99"/>
    <w:semiHidden/>
    <w:rsid w:val="00950C1E"/>
    <w:rPr>
      <w:rFonts w:ascii="Times New Roman" w:hAnsi="Times New Roman" w:cs="Times New Roman"/>
    </w:rPr>
  </w:style>
  <w:style w:type="character" w:styleId="FollowedHyperlink">
    <w:name w:val="FollowedHyperlink"/>
    <w:basedOn w:val="DefaultParagraphFont"/>
    <w:uiPriority w:val="99"/>
    <w:semiHidden/>
    <w:unhideWhenUsed/>
    <w:rsid w:val="00780CBB"/>
    <w:rPr>
      <w:color w:val="954F72" w:themeColor="followedHyperlink"/>
      <w:u w:val="single"/>
    </w:rPr>
  </w:style>
  <w:style w:type="paragraph" w:styleId="Revision">
    <w:name w:val="Revision"/>
    <w:hidden/>
    <w:uiPriority w:val="99"/>
    <w:semiHidden/>
    <w:rsid w:val="00234752"/>
  </w:style>
  <w:style w:type="character" w:customStyle="1" w:styleId="Heading2Char">
    <w:name w:val="Heading 2 Char"/>
    <w:basedOn w:val="DefaultParagraphFont"/>
    <w:link w:val="Heading2"/>
    <w:uiPriority w:val="9"/>
    <w:semiHidden/>
    <w:rsid w:val="006B1061"/>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8C57B4"/>
    <w:rPr>
      <w:rFonts w:asciiTheme="majorHAnsi" w:eastAsiaTheme="majorEastAsia" w:hAnsiTheme="majorHAnsi" w:cstheme="majorBidi"/>
      <w:i/>
      <w:iCs/>
      <w:color w:val="2E74B5" w:themeColor="accent1" w:themeShade="BF"/>
    </w:rPr>
  </w:style>
  <w:style w:type="character" w:styleId="SubtleEmphasis">
    <w:name w:val="Subtle Emphasis"/>
    <w:basedOn w:val="DefaultParagraphFont"/>
    <w:uiPriority w:val="19"/>
    <w:qFormat/>
    <w:rsid w:val="00DF2C9F"/>
    <w:rPr>
      <w:i/>
      <w:iCs/>
      <w:color w:val="404040" w:themeColor="text1" w:themeTint="BF"/>
    </w:rPr>
  </w:style>
  <w:style w:type="character" w:customStyle="1" w:styleId="apple-converted-space">
    <w:name w:val="apple-converted-space"/>
    <w:basedOn w:val="DefaultParagraphFont"/>
    <w:rsid w:val="00DC62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3857">
      <w:bodyDiv w:val="1"/>
      <w:marLeft w:val="0"/>
      <w:marRight w:val="0"/>
      <w:marTop w:val="0"/>
      <w:marBottom w:val="0"/>
      <w:divBdr>
        <w:top w:val="none" w:sz="0" w:space="0" w:color="auto"/>
        <w:left w:val="none" w:sz="0" w:space="0" w:color="auto"/>
        <w:bottom w:val="none" w:sz="0" w:space="0" w:color="auto"/>
        <w:right w:val="none" w:sz="0" w:space="0" w:color="auto"/>
      </w:divBdr>
    </w:div>
    <w:div w:id="35010454">
      <w:bodyDiv w:val="1"/>
      <w:marLeft w:val="0"/>
      <w:marRight w:val="0"/>
      <w:marTop w:val="0"/>
      <w:marBottom w:val="0"/>
      <w:divBdr>
        <w:top w:val="none" w:sz="0" w:space="0" w:color="auto"/>
        <w:left w:val="none" w:sz="0" w:space="0" w:color="auto"/>
        <w:bottom w:val="none" w:sz="0" w:space="0" w:color="auto"/>
        <w:right w:val="none" w:sz="0" w:space="0" w:color="auto"/>
      </w:divBdr>
    </w:div>
    <w:div w:id="162163088">
      <w:bodyDiv w:val="1"/>
      <w:marLeft w:val="0"/>
      <w:marRight w:val="0"/>
      <w:marTop w:val="0"/>
      <w:marBottom w:val="0"/>
      <w:divBdr>
        <w:top w:val="none" w:sz="0" w:space="0" w:color="auto"/>
        <w:left w:val="none" w:sz="0" w:space="0" w:color="auto"/>
        <w:bottom w:val="none" w:sz="0" w:space="0" w:color="auto"/>
        <w:right w:val="none" w:sz="0" w:space="0" w:color="auto"/>
      </w:divBdr>
    </w:div>
    <w:div w:id="165171728">
      <w:bodyDiv w:val="1"/>
      <w:marLeft w:val="0"/>
      <w:marRight w:val="0"/>
      <w:marTop w:val="0"/>
      <w:marBottom w:val="0"/>
      <w:divBdr>
        <w:top w:val="none" w:sz="0" w:space="0" w:color="auto"/>
        <w:left w:val="none" w:sz="0" w:space="0" w:color="auto"/>
        <w:bottom w:val="none" w:sz="0" w:space="0" w:color="auto"/>
        <w:right w:val="none" w:sz="0" w:space="0" w:color="auto"/>
      </w:divBdr>
    </w:div>
    <w:div w:id="211504390">
      <w:bodyDiv w:val="1"/>
      <w:marLeft w:val="0"/>
      <w:marRight w:val="0"/>
      <w:marTop w:val="0"/>
      <w:marBottom w:val="0"/>
      <w:divBdr>
        <w:top w:val="none" w:sz="0" w:space="0" w:color="auto"/>
        <w:left w:val="none" w:sz="0" w:space="0" w:color="auto"/>
        <w:bottom w:val="none" w:sz="0" w:space="0" w:color="auto"/>
        <w:right w:val="none" w:sz="0" w:space="0" w:color="auto"/>
      </w:divBdr>
    </w:div>
    <w:div w:id="230585514">
      <w:bodyDiv w:val="1"/>
      <w:marLeft w:val="0"/>
      <w:marRight w:val="0"/>
      <w:marTop w:val="0"/>
      <w:marBottom w:val="0"/>
      <w:divBdr>
        <w:top w:val="none" w:sz="0" w:space="0" w:color="auto"/>
        <w:left w:val="none" w:sz="0" w:space="0" w:color="auto"/>
        <w:bottom w:val="none" w:sz="0" w:space="0" w:color="auto"/>
        <w:right w:val="none" w:sz="0" w:space="0" w:color="auto"/>
      </w:divBdr>
    </w:div>
    <w:div w:id="232087825">
      <w:bodyDiv w:val="1"/>
      <w:marLeft w:val="0"/>
      <w:marRight w:val="0"/>
      <w:marTop w:val="0"/>
      <w:marBottom w:val="0"/>
      <w:divBdr>
        <w:top w:val="none" w:sz="0" w:space="0" w:color="auto"/>
        <w:left w:val="none" w:sz="0" w:space="0" w:color="auto"/>
        <w:bottom w:val="none" w:sz="0" w:space="0" w:color="auto"/>
        <w:right w:val="none" w:sz="0" w:space="0" w:color="auto"/>
      </w:divBdr>
    </w:div>
    <w:div w:id="255360216">
      <w:bodyDiv w:val="1"/>
      <w:marLeft w:val="0"/>
      <w:marRight w:val="0"/>
      <w:marTop w:val="0"/>
      <w:marBottom w:val="0"/>
      <w:divBdr>
        <w:top w:val="none" w:sz="0" w:space="0" w:color="auto"/>
        <w:left w:val="none" w:sz="0" w:space="0" w:color="auto"/>
        <w:bottom w:val="none" w:sz="0" w:space="0" w:color="auto"/>
        <w:right w:val="none" w:sz="0" w:space="0" w:color="auto"/>
      </w:divBdr>
    </w:div>
    <w:div w:id="275866655">
      <w:bodyDiv w:val="1"/>
      <w:marLeft w:val="0"/>
      <w:marRight w:val="0"/>
      <w:marTop w:val="0"/>
      <w:marBottom w:val="0"/>
      <w:divBdr>
        <w:top w:val="none" w:sz="0" w:space="0" w:color="auto"/>
        <w:left w:val="none" w:sz="0" w:space="0" w:color="auto"/>
        <w:bottom w:val="none" w:sz="0" w:space="0" w:color="auto"/>
        <w:right w:val="none" w:sz="0" w:space="0" w:color="auto"/>
      </w:divBdr>
    </w:div>
    <w:div w:id="279725395">
      <w:bodyDiv w:val="1"/>
      <w:marLeft w:val="0"/>
      <w:marRight w:val="0"/>
      <w:marTop w:val="0"/>
      <w:marBottom w:val="0"/>
      <w:divBdr>
        <w:top w:val="none" w:sz="0" w:space="0" w:color="auto"/>
        <w:left w:val="none" w:sz="0" w:space="0" w:color="auto"/>
        <w:bottom w:val="none" w:sz="0" w:space="0" w:color="auto"/>
        <w:right w:val="none" w:sz="0" w:space="0" w:color="auto"/>
      </w:divBdr>
    </w:div>
    <w:div w:id="343749692">
      <w:bodyDiv w:val="1"/>
      <w:marLeft w:val="0"/>
      <w:marRight w:val="0"/>
      <w:marTop w:val="0"/>
      <w:marBottom w:val="0"/>
      <w:divBdr>
        <w:top w:val="none" w:sz="0" w:space="0" w:color="auto"/>
        <w:left w:val="none" w:sz="0" w:space="0" w:color="auto"/>
        <w:bottom w:val="none" w:sz="0" w:space="0" w:color="auto"/>
        <w:right w:val="none" w:sz="0" w:space="0" w:color="auto"/>
      </w:divBdr>
    </w:div>
    <w:div w:id="365300330">
      <w:bodyDiv w:val="1"/>
      <w:marLeft w:val="0"/>
      <w:marRight w:val="0"/>
      <w:marTop w:val="0"/>
      <w:marBottom w:val="0"/>
      <w:divBdr>
        <w:top w:val="none" w:sz="0" w:space="0" w:color="auto"/>
        <w:left w:val="none" w:sz="0" w:space="0" w:color="auto"/>
        <w:bottom w:val="none" w:sz="0" w:space="0" w:color="auto"/>
        <w:right w:val="none" w:sz="0" w:space="0" w:color="auto"/>
      </w:divBdr>
    </w:div>
    <w:div w:id="382096639">
      <w:bodyDiv w:val="1"/>
      <w:marLeft w:val="0"/>
      <w:marRight w:val="0"/>
      <w:marTop w:val="0"/>
      <w:marBottom w:val="0"/>
      <w:divBdr>
        <w:top w:val="none" w:sz="0" w:space="0" w:color="auto"/>
        <w:left w:val="none" w:sz="0" w:space="0" w:color="auto"/>
        <w:bottom w:val="none" w:sz="0" w:space="0" w:color="auto"/>
        <w:right w:val="none" w:sz="0" w:space="0" w:color="auto"/>
      </w:divBdr>
    </w:div>
    <w:div w:id="400837736">
      <w:bodyDiv w:val="1"/>
      <w:marLeft w:val="0"/>
      <w:marRight w:val="0"/>
      <w:marTop w:val="0"/>
      <w:marBottom w:val="0"/>
      <w:divBdr>
        <w:top w:val="none" w:sz="0" w:space="0" w:color="auto"/>
        <w:left w:val="none" w:sz="0" w:space="0" w:color="auto"/>
        <w:bottom w:val="none" w:sz="0" w:space="0" w:color="auto"/>
        <w:right w:val="none" w:sz="0" w:space="0" w:color="auto"/>
      </w:divBdr>
    </w:div>
    <w:div w:id="453669620">
      <w:bodyDiv w:val="1"/>
      <w:marLeft w:val="0"/>
      <w:marRight w:val="0"/>
      <w:marTop w:val="0"/>
      <w:marBottom w:val="0"/>
      <w:divBdr>
        <w:top w:val="none" w:sz="0" w:space="0" w:color="auto"/>
        <w:left w:val="none" w:sz="0" w:space="0" w:color="auto"/>
        <w:bottom w:val="none" w:sz="0" w:space="0" w:color="auto"/>
        <w:right w:val="none" w:sz="0" w:space="0" w:color="auto"/>
      </w:divBdr>
    </w:div>
    <w:div w:id="476846901">
      <w:bodyDiv w:val="1"/>
      <w:marLeft w:val="0"/>
      <w:marRight w:val="0"/>
      <w:marTop w:val="0"/>
      <w:marBottom w:val="0"/>
      <w:divBdr>
        <w:top w:val="none" w:sz="0" w:space="0" w:color="auto"/>
        <w:left w:val="none" w:sz="0" w:space="0" w:color="auto"/>
        <w:bottom w:val="none" w:sz="0" w:space="0" w:color="auto"/>
        <w:right w:val="none" w:sz="0" w:space="0" w:color="auto"/>
      </w:divBdr>
    </w:div>
    <w:div w:id="563953781">
      <w:bodyDiv w:val="1"/>
      <w:marLeft w:val="0"/>
      <w:marRight w:val="0"/>
      <w:marTop w:val="0"/>
      <w:marBottom w:val="0"/>
      <w:divBdr>
        <w:top w:val="none" w:sz="0" w:space="0" w:color="auto"/>
        <w:left w:val="none" w:sz="0" w:space="0" w:color="auto"/>
        <w:bottom w:val="none" w:sz="0" w:space="0" w:color="auto"/>
        <w:right w:val="none" w:sz="0" w:space="0" w:color="auto"/>
      </w:divBdr>
    </w:div>
    <w:div w:id="569924233">
      <w:bodyDiv w:val="1"/>
      <w:marLeft w:val="0"/>
      <w:marRight w:val="0"/>
      <w:marTop w:val="0"/>
      <w:marBottom w:val="0"/>
      <w:divBdr>
        <w:top w:val="none" w:sz="0" w:space="0" w:color="auto"/>
        <w:left w:val="none" w:sz="0" w:space="0" w:color="auto"/>
        <w:bottom w:val="none" w:sz="0" w:space="0" w:color="auto"/>
        <w:right w:val="none" w:sz="0" w:space="0" w:color="auto"/>
      </w:divBdr>
    </w:div>
    <w:div w:id="616452629">
      <w:bodyDiv w:val="1"/>
      <w:marLeft w:val="0"/>
      <w:marRight w:val="0"/>
      <w:marTop w:val="0"/>
      <w:marBottom w:val="0"/>
      <w:divBdr>
        <w:top w:val="none" w:sz="0" w:space="0" w:color="auto"/>
        <w:left w:val="none" w:sz="0" w:space="0" w:color="auto"/>
        <w:bottom w:val="none" w:sz="0" w:space="0" w:color="auto"/>
        <w:right w:val="none" w:sz="0" w:space="0" w:color="auto"/>
      </w:divBdr>
    </w:div>
    <w:div w:id="650718993">
      <w:bodyDiv w:val="1"/>
      <w:marLeft w:val="0"/>
      <w:marRight w:val="0"/>
      <w:marTop w:val="0"/>
      <w:marBottom w:val="0"/>
      <w:divBdr>
        <w:top w:val="none" w:sz="0" w:space="0" w:color="auto"/>
        <w:left w:val="none" w:sz="0" w:space="0" w:color="auto"/>
        <w:bottom w:val="none" w:sz="0" w:space="0" w:color="auto"/>
        <w:right w:val="none" w:sz="0" w:space="0" w:color="auto"/>
      </w:divBdr>
    </w:div>
    <w:div w:id="668603359">
      <w:bodyDiv w:val="1"/>
      <w:marLeft w:val="0"/>
      <w:marRight w:val="0"/>
      <w:marTop w:val="0"/>
      <w:marBottom w:val="0"/>
      <w:divBdr>
        <w:top w:val="none" w:sz="0" w:space="0" w:color="auto"/>
        <w:left w:val="none" w:sz="0" w:space="0" w:color="auto"/>
        <w:bottom w:val="none" w:sz="0" w:space="0" w:color="auto"/>
        <w:right w:val="none" w:sz="0" w:space="0" w:color="auto"/>
      </w:divBdr>
    </w:div>
    <w:div w:id="692388282">
      <w:bodyDiv w:val="1"/>
      <w:marLeft w:val="0"/>
      <w:marRight w:val="0"/>
      <w:marTop w:val="0"/>
      <w:marBottom w:val="0"/>
      <w:divBdr>
        <w:top w:val="none" w:sz="0" w:space="0" w:color="auto"/>
        <w:left w:val="none" w:sz="0" w:space="0" w:color="auto"/>
        <w:bottom w:val="none" w:sz="0" w:space="0" w:color="auto"/>
        <w:right w:val="none" w:sz="0" w:space="0" w:color="auto"/>
      </w:divBdr>
    </w:div>
    <w:div w:id="790050318">
      <w:bodyDiv w:val="1"/>
      <w:marLeft w:val="0"/>
      <w:marRight w:val="0"/>
      <w:marTop w:val="0"/>
      <w:marBottom w:val="0"/>
      <w:divBdr>
        <w:top w:val="none" w:sz="0" w:space="0" w:color="auto"/>
        <w:left w:val="none" w:sz="0" w:space="0" w:color="auto"/>
        <w:bottom w:val="none" w:sz="0" w:space="0" w:color="auto"/>
        <w:right w:val="none" w:sz="0" w:space="0" w:color="auto"/>
      </w:divBdr>
    </w:div>
    <w:div w:id="891841416">
      <w:bodyDiv w:val="1"/>
      <w:marLeft w:val="0"/>
      <w:marRight w:val="0"/>
      <w:marTop w:val="0"/>
      <w:marBottom w:val="0"/>
      <w:divBdr>
        <w:top w:val="none" w:sz="0" w:space="0" w:color="auto"/>
        <w:left w:val="none" w:sz="0" w:space="0" w:color="auto"/>
        <w:bottom w:val="none" w:sz="0" w:space="0" w:color="auto"/>
        <w:right w:val="none" w:sz="0" w:space="0" w:color="auto"/>
      </w:divBdr>
    </w:div>
    <w:div w:id="902569769">
      <w:bodyDiv w:val="1"/>
      <w:marLeft w:val="0"/>
      <w:marRight w:val="0"/>
      <w:marTop w:val="0"/>
      <w:marBottom w:val="0"/>
      <w:divBdr>
        <w:top w:val="none" w:sz="0" w:space="0" w:color="auto"/>
        <w:left w:val="none" w:sz="0" w:space="0" w:color="auto"/>
        <w:bottom w:val="none" w:sz="0" w:space="0" w:color="auto"/>
        <w:right w:val="none" w:sz="0" w:space="0" w:color="auto"/>
      </w:divBdr>
    </w:div>
    <w:div w:id="908732282">
      <w:bodyDiv w:val="1"/>
      <w:marLeft w:val="0"/>
      <w:marRight w:val="0"/>
      <w:marTop w:val="0"/>
      <w:marBottom w:val="0"/>
      <w:divBdr>
        <w:top w:val="none" w:sz="0" w:space="0" w:color="auto"/>
        <w:left w:val="none" w:sz="0" w:space="0" w:color="auto"/>
        <w:bottom w:val="none" w:sz="0" w:space="0" w:color="auto"/>
        <w:right w:val="none" w:sz="0" w:space="0" w:color="auto"/>
      </w:divBdr>
    </w:div>
    <w:div w:id="952856839">
      <w:bodyDiv w:val="1"/>
      <w:marLeft w:val="0"/>
      <w:marRight w:val="0"/>
      <w:marTop w:val="0"/>
      <w:marBottom w:val="0"/>
      <w:divBdr>
        <w:top w:val="none" w:sz="0" w:space="0" w:color="auto"/>
        <w:left w:val="none" w:sz="0" w:space="0" w:color="auto"/>
        <w:bottom w:val="none" w:sz="0" w:space="0" w:color="auto"/>
        <w:right w:val="none" w:sz="0" w:space="0" w:color="auto"/>
      </w:divBdr>
    </w:div>
    <w:div w:id="967977152">
      <w:bodyDiv w:val="1"/>
      <w:marLeft w:val="0"/>
      <w:marRight w:val="0"/>
      <w:marTop w:val="0"/>
      <w:marBottom w:val="0"/>
      <w:divBdr>
        <w:top w:val="none" w:sz="0" w:space="0" w:color="auto"/>
        <w:left w:val="none" w:sz="0" w:space="0" w:color="auto"/>
        <w:bottom w:val="none" w:sz="0" w:space="0" w:color="auto"/>
        <w:right w:val="none" w:sz="0" w:space="0" w:color="auto"/>
      </w:divBdr>
    </w:div>
    <w:div w:id="984357777">
      <w:bodyDiv w:val="1"/>
      <w:marLeft w:val="0"/>
      <w:marRight w:val="0"/>
      <w:marTop w:val="0"/>
      <w:marBottom w:val="0"/>
      <w:divBdr>
        <w:top w:val="none" w:sz="0" w:space="0" w:color="auto"/>
        <w:left w:val="none" w:sz="0" w:space="0" w:color="auto"/>
        <w:bottom w:val="none" w:sz="0" w:space="0" w:color="auto"/>
        <w:right w:val="none" w:sz="0" w:space="0" w:color="auto"/>
      </w:divBdr>
    </w:div>
    <w:div w:id="1011252894">
      <w:bodyDiv w:val="1"/>
      <w:marLeft w:val="0"/>
      <w:marRight w:val="0"/>
      <w:marTop w:val="0"/>
      <w:marBottom w:val="0"/>
      <w:divBdr>
        <w:top w:val="none" w:sz="0" w:space="0" w:color="auto"/>
        <w:left w:val="none" w:sz="0" w:space="0" w:color="auto"/>
        <w:bottom w:val="none" w:sz="0" w:space="0" w:color="auto"/>
        <w:right w:val="none" w:sz="0" w:space="0" w:color="auto"/>
      </w:divBdr>
    </w:div>
    <w:div w:id="1041709419">
      <w:bodyDiv w:val="1"/>
      <w:marLeft w:val="0"/>
      <w:marRight w:val="0"/>
      <w:marTop w:val="0"/>
      <w:marBottom w:val="0"/>
      <w:divBdr>
        <w:top w:val="none" w:sz="0" w:space="0" w:color="auto"/>
        <w:left w:val="none" w:sz="0" w:space="0" w:color="auto"/>
        <w:bottom w:val="none" w:sz="0" w:space="0" w:color="auto"/>
        <w:right w:val="none" w:sz="0" w:space="0" w:color="auto"/>
      </w:divBdr>
    </w:div>
    <w:div w:id="1106000034">
      <w:bodyDiv w:val="1"/>
      <w:marLeft w:val="0"/>
      <w:marRight w:val="0"/>
      <w:marTop w:val="0"/>
      <w:marBottom w:val="0"/>
      <w:divBdr>
        <w:top w:val="none" w:sz="0" w:space="0" w:color="auto"/>
        <w:left w:val="none" w:sz="0" w:space="0" w:color="auto"/>
        <w:bottom w:val="none" w:sz="0" w:space="0" w:color="auto"/>
        <w:right w:val="none" w:sz="0" w:space="0" w:color="auto"/>
      </w:divBdr>
    </w:div>
    <w:div w:id="1106121994">
      <w:bodyDiv w:val="1"/>
      <w:marLeft w:val="0"/>
      <w:marRight w:val="0"/>
      <w:marTop w:val="0"/>
      <w:marBottom w:val="0"/>
      <w:divBdr>
        <w:top w:val="none" w:sz="0" w:space="0" w:color="auto"/>
        <w:left w:val="none" w:sz="0" w:space="0" w:color="auto"/>
        <w:bottom w:val="none" w:sz="0" w:space="0" w:color="auto"/>
        <w:right w:val="none" w:sz="0" w:space="0" w:color="auto"/>
      </w:divBdr>
    </w:div>
    <w:div w:id="1108231972">
      <w:bodyDiv w:val="1"/>
      <w:marLeft w:val="0"/>
      <w:marRight w:val="0"/>
      <w:marTop w:val="0"/>
      <w:marBottom w:val="0"/>
      <w:divBdr>
        <w:top w:val="none" w:sz="0" w:space="0" w:color="auto"/>
        <w:left w:val="none" w:sz="0" w:space="0" w:color="auto"/>
        <w:bottom w:val="none" w:sz="0" w:space="0" w:color="auto"/>
        <w:right w:val="none" w:sz="0" w:space="0" w:color="auto"/>
      </w:divBdr>
    </w:div>
    <w:div w:id="1251307939">
      <w:bodyDiv w:val="1"/>
      <w:marLeft w:val="0"/>
      <w:marRight w:val="0"/>
      <w:marTop w:val="0"/>
      <w:marBottom w:val="0"/>
      <w:divBdr>
        <w:top w:val="none" w:sz="0" w:space="0" w:color="auto"/>
        <w:left w:val="none" w:sz="0" w:space="0" w:color="auto"/>
        <w:bottom w:val="none" w:sz="0" w:space="0" w:color="auto"/>
        <w:right w:val="none" w:sz="0" w:space="0" w:color="auto"/>
      </w:divBdr>
    </w:div>
    <w:div w:id="1272400019">
      <w:bodyDiv w:val="1"/>
      <w:marLeft w:val="0"/>
      <w:marRight w:val="0"/>
      <w:marTop w:val="0"/>
      <w:marBottom w:val="0"/>
      <w:divBdr>
        <w:top w:val="none" w:sz="0" w:space="0" w:color="auto"/>
        <w:left w:val="none" w:sz="0" w:space="0" w:color="auto"/>
        <w:bottom w:val="none" w:sz="0" w:space="0" w:color="auto"/>
        <w:right w:val="none" w:sz="0" w:space="0" w:color="auto"/>
      </w:divBdr>
    </w:div>
    <w:div w:id="1343433885">
      <w:bodyDiv w:val="1"/>
      <w:marLeft w:val="0"/>
      <w:marRight w:val="0"/>
      <w:marTop w:val="0"/>
      <w:marBottom w:val="0"/>
      <w:divBdr>
        <w:top w:val="none" w:sz="0" w:space="0" w:color="auto"/>
        <w:left w:val="none" w:sz="0" w:space="0" w:color="auto"/>
        <w:bottom w:val="none" w:sz="0" w:space="0" w:color="auto"/>
        <w:right w:val="none" w:sz="0" w:space="0" w:color="auto"/>
      </w:divBdr>
    </w:div>
    <w:div w:id="1400714975">
      <w:bodyDiv w:val="1"/>
      <w:marLeft w:val="0"/>
      <w:marRight w:val="0"/>
      <w:marTop w:val="0"/>
      <w:marBottom w:val="0"/>
      <w:divBdr>
        <w:top w:val="none" w:sz="0" w:space="0" w:color="auto"/>
        <w:left w:val="none" w:sz="0" w:space="0" w:color="auto"/>
        <w:bottom w:val="none" w:sz="0" w:space="0" w:color="auto"/>
        <w:right w:val="none" w:sz="0" w:space="0" w:color="auto"/>
      </w:divBdr>
    </w:div>
    <w:div w:id="1518108283">
      <w:bodyDiv w:val="1"/>
      <w:marLeft w:val="0"/>
      <w:marRight w:val="0"/>
      <w:marTop w:val="0"/>
      <w:marBottom w:val="0"/>
      <w:divBdr>
        <w:top w:val="none" w:sz="0" w:space="0" w:color="auto"/>
        <w:left w:val="none" w:sz="0" w:space="0" w:color="auto"/>
        <w:bottom w:val="none" w:sz="0" w:space="0" w:color="auto"/>
        <w:right w:val="none" w:sz="0" w:space="0" w:color="auto"/>
      </w:divBdr>
    </w:div>
    <w:div w:id="1541479691">
      <w:bodyDiv w:val="1"/>
      <w:marLeft w:val="0"/>
      <w:marRight w:val="0"/>
      <w:marTop w:val="0"/>
      <w:marBottom w:val="0"/>
      <w:divBdr>
        <w:top w:val="none" w:sz="0" w:space="0" w:color="auto"/>
        <w:left w:val="none" w:sz="0" w:space="0" w:color="auto"/>
        <w:bottom w:val="none" w:sz="0" w:space="0" w:color="auto"/>
        <w:right w:val="none" w:sz="0" w:space="0" w:color="auto"/>
      </w:divBdr>
    </w:div>
    <w:div w:id="1543439153">
      <w:bodyDiv w:val="1"/>
      <w:marLeft w:val="0"/>
      <w:marRight w:val="0"/>
      <w:marTop w:val="0"/>
      <w:marBottom w:val="0"/>
      <w:divBdr>
        <w:top w:val="none" w:sz="0" w:space="0" w:color="auto"/>
        <w:left w:val="none" w:sz="0" w:space="0" w:color="auto"/>
        <w:bottom w:val="none" w:sz="0" w:space="0" w:color="auto"/>
        <w:right w:val="none" w:sz="0" w:space="0" w:color="auto"/>
      </w:divBdr>
    </w:div>
    <w:div w:id="1557548820">
      <w:bodyDiv w:val="1"/>
      <w:marLeft w:val="0"/>
      <w:marRight w:val="0"/>
      <w:marTop w:val="0"/>
      <w:marBottom w:val="0"/>
      <w:divBdr>
        <w:top w:val="none" w:sz="0" w:space="0" w:color="auto"/>
        <w:left w:val="none" w:sz="0" w:space="0" w:color="auto"/>
        <w:bottom w:val="none" w:sz="0" w:space="0" w:color="auto"/>
        <w:right w:val="none" w:sz="0" w:space="0" w:color="auto"/>
      </w:divBdr>
    </w:div>
    <w:div w:id="1559243063">
      <w:bodyDiv w:val="1"/>
      <w:marLeft w:val="0"/>
      <w:marRight w:val="0"/>
      <w:marTop w:val="0"/>
      <w:marBottom w:val="0"/>
      <w:divBdr>
        <w:top w:val="none" w:sz="0" w:space="0" w:color="auto"/>
        <w:left w:val="none" w:sz="0" w:space="0" w:color="auto"/>
        <w:bottom w:val="none" w:sz="0" w:space="0" w:color="auto"/>
        <w:right w:val="none" w:sz="0" w:space="0" w:color="auto"/>
      </w:divBdr>
    </w:div>
    <w:div w:id="1585146269">
      <w:bodyDiv w:val="1"/>
      <w:marLeft w:val="0"/>
      <w:marRight w:val="0"/>
      <w:marTop w:val="0"/>
      <w:marBottom w:val="0"/>
      <w:divBdr>
        <w:top w:val="none" w:sz="0" w:space="0" w:color="auto"/>
        <w:left w:val="none" w:sz="0" w:space="0" w:color="auto"/>
        <w:bottom w:val="none" w:sz="0" w:space="0" w:color="auto"/>
        <w:right w:val="none" w:sz="0" w:space="0" w:color="auto"/>
      </w:divBdr>
    </w:div>
    <w:div w:id="1609311559">
      <w:bodyDiv w:val="1"/>
      <w:marLeft w:val="0"/>
      <w:marRight w:val="0"/>
      <w:marTop w:val="0"/>
      <w:marBottom w:val="0"/>
      <w:divBdr>
        <w:top w:val="none" w:sz="0" w:space="0" w:color="auto"/>
        <w:left w:val="none" w:sz="0" w:space="0" w:color="auto"/>
        <w:bottom w:val="none" w:sz="0" w:space="0" w:color="auto"/>
        <w:right w:val="none" w:sz="0" w:space="0" w:color="auto"/>
      </w:divBdr>
    </w:div>
    <w:div w:id="1634408340">
      <w:bodyDiv w:val="1"/>
      <w:marLeft w:val="0"/>
      <w:marRight w:val="0"/>
      <w:marTop w:val="0"/>
      <w:marBottom w:val="0"/>
      <w:divBdr>
        <w:top w:val="none" w:sz="0" w:space="0" w:color="auto"/>
        <w:left w:val="none" w:sz="0" w:space="0" w:color="auto"/>
        <w:bottom w:val="none" w:sz="0" w:space="0" w:color="auto"/>
        <w:right w:val="none" w:sz="0" w:space="0" w:color="auto"/>
      </w:divBdr>
    </w:div>
    <w:div w:id="1715735569">
      <w:bodyDiv w:val="1"/>
      <w:marLeft w:val="0"/>
      <w:marRight w:val="0"/>
      <w:marTop w:val="0"/>
      <w:marBottom w:val="0"/>
      <w:divBdr>
        <w:top w:val="none" w:sz="0" w:space="0" w:color="auto"/>
        <w:left w:val="none" w:sz="0" w:space="0" w:color="auto"/>
        <w:bottom w:val="none" w:sz="0" w:space="0" w:color="auto"/>
        <w:right w:val="none" w:sz="0" w:space="0" w:color="auto"/>
      </w:divBdr>
    </w:div>
    <w:div w:id="1771076229">
      <w:bodyDiv w:val="1"/>
      <w:marLeft w:val="0"/>
      <w:marRight w:val="0"/>
      <w:marTop w:val="0"/>
      <w:marBottom w:val="0"/>
      <w:divBdr>
        <w:top w:val="none" w:sz="0" w:space="0" w:color="auto"/>
        <w:left w:val="none" w:sz="0" w:space="0" w:color="auto"/>
        <w:bottom w:val="none" w:sz="0" w:space="0" w:color="auto"/>
        <w:right w:val="none" w:sz="0" w:space="0" w:color="auto"/>
      </w:divBdr>
    </w:div>
    <w:div w:id="1810704005">
      <w:bodyDiv w:val="1"/>
      <w:marLeft w:val="0"/>
      <w:marRight w:val="0"/>
      <w:marTop w:val="0"/>
      <w:marBottom w:val="0"/>
      <w:divBdr>
        <w:top w:val="none" w:sz="0" w:space="0" w:color="auto"/>
        <w:left w:val="none" w:sz="0" w:space="0" w:color="auto"/>
        <w:bottom w:val="none" w:sz="0" w:space="0" w:color="auto"/>
        <w:right w:val="none" w:sz="0" w:space="0" w:color="auto"/>
      </w:divBdr>
    </w:div>
    <w:div w:id="1875849182">
      <w:bodyDiv w:val="1"/>
      <w:marLeft w:val="0"/>
      <w:marRight w:val="0"/>
      <w:marTop w:val="0"/>
      <w:marBottom w:val="0"/>
      <w:divBdr>
        <w:top w:val="none" w:sz="0" w:space="0" w:color="auto"/>
        <w:left w:val="none" w:sz="0" w:space="0" w:color="auto"/>
        <w:bottom w:val="none" w:sz="0" w:space="0" w:color="auto"/>
        <w:right w:val="none" w:sz="0" w:space="0" w:color="auto"/>
      </w:divBdr>
    </w:div>
    <w:div w:id="1894463006">
      <w:bodyDiv w:val="1"/>
      <w:marLeft w:val="0"/>
      <w:marRight w:val="0"/>
      <w:marTop w:val="0"/>
      <w:marBottom w:val="0"/>
      <w:divBdr>
        <w:top w:val="none" w:sz="0" w:space="0" w:color="auto"/>
        <w:left w:val="none" w:sz="0" w:space="0" w:color="auto"/>
        <w:bottom w:val="none" w:sz="0" w:space="0" w:color="auto"/>
        <w:right w:val="none" w:sz="0" w:space="0" w:color="auto"/>
      </w:divBdr>
    </w:div>
    <w:div w:id="1894926657">
      <w:bodyDiv w:val="1"/>
      <w:marLeft w:val="0"/>
      <w:marRight w:val="0"/>
      <w:marTop w:val="0"/>
      <w:marBottom w:val="0"/>
      <w:divBdr>
        <w:top w:val="none" w:sz="0" w:space="0" w:color="auto"/>
        <w:left w:val="none" w:sz="0" w:space="0" w:color="auto"/>
        <w:bottom w:val="none" w:sz="0" w:space="0" w:color="auto"/>
        <w:right w:val="none" w:sz="0" w:space="0" w:color="auto"/>
      </w:divBdr>
    </w:div>
    <w:div w:id="1912733797">
      <w:bodyDiv w:val="1"/>
      <w:marLeft w:val="0"/>
      <w:marRight w:val="0"/>
      <w:marTop w:val="0"/>
      <w:marBottom w:val="0"/>
      <w:divBdr>
        <w:top w:val="none" w:sz="0" w:space="0" w:color="auto"/>
        <w:left w:val="none" w:sz="0" w:space="0" w:color="auto"/>
        <w:bottom w:val="none" w:sz="0" w:space="0" w:color="auto"/>
        <w:right w:val="none" w:sz="0" w:space="0" w:color="auto"/>
      </w:divBdr>
    </w:div>
    <w:div w:id="1917594426">
      <w:bodyDiv w:val="1"/>
      <w:marLeft w:val="0"/>
      <w:marRight w:val="0"/>
      <w:marTop w:val="0"/>
      <w:marBottom w:val="0"/>
      <w:divBdr>
        <w:top w:val="none" w:sz="0" w:space="0" w:color="auto"/>
        <w:left w:val="none" w:sz="0" w:space="0" w:color="auto"/>
        <w:bottom w:val="none" w:sz="0" w:space="0" w:color="auto"/>
        <w:right w:val="none" w:sz="0" w:space="0" w:color="auto"/>
      </w:divBdr>
    </w:div>
    <w:div w:id="1921132925">
      <w:bodyDiv w:val="1"/>
      <w:marLeft w:val="0"/>
      <w:marRight w:val="0"/>
      <w:marTop w:val="0"/>
      <w:marBottom w:val="0"/>
      <w:divBdr>
        <w:top w:val="none" w:sz="0" w:space="0" w:color="auto"/>
        <w:left w:val="none" w:sz="0" w:space="0" w:color="auto"/>
        <w:bottom w:val="none" w:sz="0" w:space="0" w:color="auto"/>
        <w:right w:val="none" w:sz="0" w:space="0" w:color="auto"/>
      </w:divBdr>
    </w:div>
    <w:div w:id="1922517884">
      <w:bodyDiv w:val="1"/>
      <w:marLeft w:val="0"/>
      <w:marRight w:val="0"/>
      <w:marTop w:val="0"/>
      <w:marBottom w:val="0"/>
      <w:divBdr>
        <w:top w:val="none" w:sz="0" w:space="0" w:color="auto"/>
        <w:left w:val="none" w:sz="0" w:space="0" w:color="auto"/>
        <w:bottom w:val="none" w:sz="0" w:space="0" w:color="auto"/>
        <w:right w:val="none" w:sz="0" w:space="0" w:color="auto"/>
      </w:divBdr>
    </w:div>
    <w:div w:id="1946620737">
      <w:bodyDiv w:val="1"/>
      <w:marLeft w:val="0"/>
      <w:marRight w:val="0"/>
      <w:marTop w:val="0"/>
      <w:marBottom w:val="0"/>
      <w:divBdr>
        <w:top w:val="none" w:sz="0" w:space="0" w:color="auto"/>
        <w:left w:val="none" w:sz="0" w:space="0" w:color="auto"/>
        <w:bottom w:val="none" w:sz="0" w:space="0" w:color="auto"/>
        <w:right w:val="none" w:sz="0" w:space="0" w:color="auto"/>
      </w:divBdr>
    </w:div>
    <w:div w:id="1996686133">
      <w:bodyDiv w:val="1"/>
      <w:marLeft w:val="0"/>
      <w:marRight w:val="0"/>
      <w:marTop w:val="0"/>
      <w:marBottom w:val="0"/>
      <w:divBdr>
        <w:top w:val="none" w:sz="0" w:space="0" w:color="auto"/>
        <w:left w:val="none" w:sz="0" w:space="0" w:color="auto"/>
        <w:bottom w:val="none" w:sz="0" w:space="0" w:color="auto"/>
        <w:right w:val="none" w:sz="0" w:space="0" w:color="auto"/>
      </w:divBdr>
    </w:div>
    <w:div w:id="2078356815">
      <w:bodyDiv w:val="1"/>
      <w:marLeft w:val="0"/>
      <w:marRight w:val="0"/>
      <w:marTop w:val="0"/>
      <w:marBottom w:val="0"/>
      <w:divBdr>
        <w:top w:val="none" w:sz="0" w:space="0" w:color="auto"/>
        <w:left w:val="none" w:sz="0" w:space="0" w:color="auto"/>
        <w:bottom w:val="none" w:sz="0" w:space="0" w:color="auto"/>
        <w:right w:val="none" w:sz="0" w:space="0" w:color="auto"/>
      </w:divBdr>
    </w:div>
    <w:div w:id="21280380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D12E8CF-B47F-4D6F-AC85-8158C9FCB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8646</Words>
  <Characters>49284</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57815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jcagin@law.cardozo.yu.edu</dc:creator>
  <cp:lastModifiedBy>Kathy</cp:lastModifiedBy>
  <cp:revision>2</cp:revision>
  <cp:lastPrinted>2017-11-20T18:48:00Z</cp:lastPrinted>
  <dcterms:created xsi:type="dcterms:W3CDTF">2017-11-20T18:48:00Z</dcterms:created>
  <dcterms:modified xsi:type="dcterms:W3CDTF">2017-11-20T18:48:00Z</dcterms:modified>
</cp:coreProperties>
</file>